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CB1E" w14:textId="77777777" w:rsidR="00BA2131" w:rsidRPr="00BA2131" w:rsidRDefault="00BA2131">
      <w:pPr>
        <w:rPr>
          <w:b/>
          <w:sz w:val="24"/>
          <w:szCs w:val="24"/>
        </w:rPr>
      </w:pPr>
      <w:r>
        <w:rPr>
          <w:b/>
          <w:sz w:val="24"/>
          <w:szCs w:val="24"/>
        </w:rPr>
        <w:t>Regler for fast</w:t>
      </w:r>
      <w:r w:rsidR="001B6320">
        <w:rPr>
          <w:b/>
          <w:sz w:val="24"/>
          <w:szCs w:val="24"/>
        </w:rPr>
        <w:t>sættelse af egenbetaling under</w:t>
      </w:r>
      <w:r w:rsidRPr="00BA2131">
        <w:rPr>
          <w:b/>
          <w:sz w:val="24"/>
          <w:szCs w:val="24"/>
        </w:rPr>
        <w:t xml:space="preserve"> </w:t>
      </w:r>
      <w:r w:rsidR="007D28D7">
        <w:rPr>
          <w:b/>
          <w:sz w:val="24"/>
          <w:szCs w:val="24"/>
        </w:rPr>
        <w:t>ophold i botilbud efter SEL §</w:t>
      </w:r>
      <w:r w:rsidR="001D4C28">
        <w:rPr>
          <w:b/>
          <w:sz w:val="24"/>
          <w:szCs w:val="24"/>
        </w:rPr>
        <w:t xml:space="preserve"> </w:t>
      </w:r>
      <w:r w:rsidR="007D28D7">
        <w:rPr>
          <w:b/>
          <w:sz w:val="24"/>
          <w:szCs w:val="24"/>
        </w:rPr>
        <w:t>107</w:t>
      </w:r>
    </w:p>
    <w:p w14:paraId="32391E42" w14:textId="77777777" w:rsidR="004D2807" w:rsidRDefault="0044214D">
      <w:proofErr w:type="spellStart"/>
      <w:r>
        <w:t>Retningslinierne</w:t>
      </w:r>
      <w:proofErr w:type="spellEnd"/>
      <w:r>
        <w:t xml:space="preserve"> omfatter kommunerne og regionen i den midtjyske region.</w:t>
      </w:r>
    </w:p>
    <w:p w14:paraId="544A9414" w14:textId="77777777" w:rsidR="0044214D" w:rsidRDefault="0044214D"/>
    <w:p w14:paraId="4C1FB5C1" w14:textId="77777777" w:rsidR="00AD711E" w:rsidRDefault="000F2F18" w:rsidP="00A123D7">
      <w:r>
        <w:t>E</w:t>
      </w:r>
      <w:r w:rsidR="00AD711E">
        <w:t>genbetaling</w:t>
      </w:r>
      <w:r>
        <w:t>en fastsættes i følgende trin</w:t>
      </w:r>
      <w:r w:rsidR="00AD711E">
        <w:t>:</w:t>
      </w:r>
    </w:p>
    <w:p w14:paraId="778C9BEE" w14:textId="77777777" w:rsidR="00AD711E" w:rsidRDefault="00767E88" w:rsidP="00AD711E">
      <w:pPr>
        <w:pStyle w:val="Listeafsnit"/>
        <w:numPr>
          <w:ilvl w:val="0"/>
          <w:numId w:val="3"/>
        </w:numPr>
      </w:pPr>
      <w:r>
        <w:t>Bolig – boligbetaling</w:t>
      </w:r>
      <w:r w:rsidR="00D30546">
        <w:t>, el</w:t>
      </w:r>
      <w:r w:rsidR="00AD711E">
        <w:t>, varme</w:t>
      </w:r>
    </w:p>
    <w:p w14:paraId="6846EC19" w14:textId="77777777" w:rsidR="00AD711E" w:rsidRDefault="00AD711E" w:rsidP="00B5189A">
      <w:pPr>
        <w:pStyle w:val="Listeafsnit"/>
        <w:numPr>
          <w:ilvl w:val="0"/>
          <w:numId w:val="3"/>
        </w:numPr>
      </w:pPr>
      <w:r>
        <w:t>Integrerede serviceydelser</w:t>
      </w:r>
    </w:p>
    <w:p w14:paraId="03DC77FE" w14:textId="77777777" w:rsidR="000F2F18" w:rsidRDefault="000F2F18" w:rsidP="00AD711E">
      <w:pPr>
        <w:pStyle w:val="Listeafsnit"/>
        <w:numPr>
          <w:ilvl w:val="0"/>
          <w:numId w:val="3"/>
        </w:numPr>
      </w:pPr>
      <w:r>
        <w:t>Samlet vurdering af borgerens egenbetaling</w:t>
      </w:r>
    </w:p>
    <w:p w14:paraId="3BF3F6E2" w14:textId="77777777" w:rsidR="00B5189A" w:rsidRDefault="00767E88" w:rsidP="00AD711E">
      <w:pPr>
        <w:pStyle w:val="Listeafsnit"/>
        <w:numPr>
          <w:ilvl w:val="0"/>
          <w:numId w:val="3"/>
        </w:numPr>
      </w:pPr>
      <w:r>
        <w:t>Valgfrie service</w:t>
      </w:r>
      <w:r w:rsidR="00B5189A">
        <w:t>ydelser</w:t>
      </w:r>
    </w:p>
    <w:p w14:paraId="19530B01" w14:textId="77777777" w:rsidR="00AD711E" w:rsidRDefault="00AD711E" w:rsidP="00AD711E">
      <w:pPr>
        <w:rPr>
          <w:u w:val="single"/>
        </w:rPr>
      </w:pPr>
    </w:p>
    <w:p w14:paraId="21D9E31B" w14:textId="77777777" w:rsidR="001504E1" w:rsidRPr="001504E1" w:rsidRDefault="001504E1" w:rsidP="00AD711E">
      <w:r w:rsidRPr="001504E1">
        <w:t>Det er driftsherrens opgave:</w:t>
      </w:r>
    </w:p>
    <w:p w14:paraId="3EEA500F" w14:textId="77777777" w:rsidR="001504E1" w:rsidRDefault="001504E1" w:rsidP="001504E1">
      <w:pPr>
        <w:pStyle w:val="Listeafsnit"/>
        <w:numPr>
          <w:ilvl w:val="0"/>
          <w:numId w:val="5"/>
        </w:numPr>
      </w:pPr>
      <w:r>
        <w:t xml:space="preserve">At </w:t>
      </w:r>
      <w:r w:rsidR="00DD5A65">
        <w:t>bistå med de oplysninger om botilbuddet til handlekommunen, således at handlekommunen kan fastsætte boligbetalingen.</w:t>
      </w:r>
    </w:p>
    <w:p w14:paraId="3E0E33B4" w14:textId="77777777" w:rsidR="001504E1" w:rsidRDefault="001504E1" w:rsidP="001504E1">
      <w:pPr>
        <w:pStyle w:val="Listeafsnit"/>
        <w:numPr>
          <w:ilvl w:val="0"/>
          <w:numId w:val="5"/>
        </w:numPr>
      </w:pPr>
      <w:r>
        <w:t>At beregne de faktiske udgifter på integrerede serviceyde</w:t>
      </w:r>
      <w:r w:rsidR="00A2647C">
        <w:t>lser og opkræve dette ved betalings</w:t>
      </w:r>
      <w:r>
        <w:t>kommunen.</w:t>
      </w:r>
    </w:p>
    <w:p w14:paraId="41E25B94" w14:textId="77777777" w:rsidR="001504E1" w:rsidRDefault="001504E1" w:rsidP="001504E1">
      <w:pPr>
        <w:pStyle w:val="Listeafsnit"/>
        <w:numPr>
          <w:ilvl w:val="0"/>
          <w:numId w:val="5"/>
        </w:numPr>
      </w:pPr>
      <w:r>
        <w:t>At beregne takster på valgfrie serviceydels</w:t>
      </w:r>
      <w:r w:rsidR="002E441A">
        <w:t>er og opkræve dette ved beboeren</w:t>
      </w:r>
      <w:r>
        <w:t>.</w:t>
      </w:r>
    </w:p>
    <w:p w14:paraId="23E018C8" w14:textId="77777777" w:rsidR="001504E1" w:rsidRPr="001504E1" w:rsidRDefault="001504E1" w:rsidP="001504E1"/>
    <w:p w14:paraId="6723663A" w14:textId="77777777" w:rsidR="00AD711E" w:rsidRPr="00AD711E" w:rsidRDefault="00AD711E" w:rsidP="00AD711E">
      <w:pPr>
        <w:rPr>
          <w:u w:val="single"/>
        </w:rPr>
      </w:pPr>
      <w:r w:rsidRPr="00AD711E">
        <w:rPr>
          <w:u w:val="single"/>
        </w:rPr>
        <w:t xml:space="preserve">1. Bolig </w:t>
      </w:r>
    </w:p>
    <w:p w14:paraId="5415BA67" w14:textId="77777777" w:rsidR="00DD5A65" w:rsidRDefault="00A123D7" w:rsidP="00A123D7">
      <w:r>
        <w:t xml:space="preserve">Det er handlekommunen der fastsætter og opkræver borgerens egenbetaling. </w:t>
      </w:r>
      <w:r w:rsidR="00DD5A65">
        <w:t xml:space="preserve">Boligbetalingen fastsættes således, at borgeren ikke betaler mere end hvad der svarer til huslejen i en sammenlignelig lejebolig (størrelse og beliggenhed), fratrukket den boligstøtte som borgeren ville have fået i en almen familiebolig. Dette er for at sikre, at borgere med funktionsnedsættelse ikke har flere boligudgifter, end hvad borgere uden funktionsnedsættelse normalt har af udgifter til en lejebolig af samme størrelse og beliggenhed som botilbuddet. </w:t>
      </w:r>
    </w:p>
    <w:p w14:paraId="609CDA82" w14:textId="77777777" w:rsidR="00DD5A65" w:rsidRDefault="00DD5A65" w:rsidP="00A123D7"/>
    <w:p w14:paraId="7C7785F0" w14:textId="77777777" w:rsidR="00DD5A65" w:rsidRDefault="00DD5A65" w:rsidP="00A123D7">
      <w:r>
        <w:t>Handlekommunen bør endvidere sikre sig, at der ikke opkræves mere ved borgeren end kommunens faktiske boligrelaterede udgifter til botilbuddet. Dette for at sikre at borgeren ikke indirekte kommer til at beta</w:t>
      </w:r>
      <w:r w:rsidR="00960FC9">
        <w:t>le for den socialfaglige støtte.</w:t>
      </w:r>
      <w:r w:rsidR="00960FC9">
        <w:rPr>
          <w:rStyle w:val="Fodnotehenvisning"/>
        </w:rPr>
        <w:footnoteReference w:id="1"/>
      </w:r>
      <w:r w:rsidR="00960FC9">
        <w:t xml:space="preserve"> Driftsherren bidrager med </w:t>
      </w:r>
      <w:r w:rsidR="00F71FCA">
        <w:t>de nødvendige oplysninger til</w:t>
      </w:r>
      <w:r w:rsidR="00960FC9">
        <w:t xml:space="preserve"> handlekommunen.</w:t>
      </w:r>
    </w:p>
    <w:p w14:paraId="105A4ACA" w14:textId="77777777" w:rsidR="00960FC9" w:rsidRDefault="00960FC9" w:rsidP="00A123D7"/>
    <w:p w14:paraId="72F3F1EF" w14:textId="77777777" w:rsidR="00063314" w:rsidRPr="00063314" w:rsidRDefault="00063314" w:rsidP="00960FC9">
      <w:pPr>
        <w:rPr>
          <w:u w:val="single"/>
        </w:rPr>
      </w:pPr>
      <w:r w:rsidRPr="00063314">
        <w:rPr>
          <w:u w:val="single"/>
        </w:rPr>
        <w:t>1.1 Boligbetaling – sammenlignelig bolig</w:t>
      </w:r>
    </w:p>
    <w:p w14:paraId="139553C4" w14:textId="77777777" w:rsidR="00063314" w:rsidRDefault="00063314" w:rsidP="00063314">
      <w:r>
        <w:lastRenderedPageBreak/>
        <w:t xml:space="preserve">Kvm priser på sammenlignelige boliger findes på Landsbyggefondens hjemmeside: </w:t>
      </w:r>
    </w:p>
    <w:p w14:paraId="62BB3615" w14:textId="77777777" w:rsidR="00063314" w:rsidRDefault="00063314" w:rsidP="00063314">
      <w:hyperlink r:id="rId8" w:history="1">
        <w:r w:rsidRPr="001C4F2B">
          <w:rPr>
            <w:rStyle w:val="Hyperlink"/>
          </w:rPr>
          <w:t>https://www.lbf.dk/analyser/statistikker-og-analyser/huslejestatistik/</w:t>
        </w:r>
      </w:hyperlink>
      <w:r>
        <w:t xml:space="preserve"> </w:t>
      </w:r>
    </w:p>
    <w:p w14:paraId="4316A017" w14:textId="77777777" w:rsidR="00063314" w:rsidRDefault="00063314" w:rsidP="00063314">
      <w:r>
        <w:t>Der prisfremskrives efter KL´s nyeste pris- og lønskøn, således at kvm prisen er i opkrævningsårets tal.</w:t>
      </w:r>
    </w:p>
    <w:p w14:paraId="560871BD" w14:textId="77777777" w:rsidR="00960FC9" w:rsidRDefault="00960FC9" w:rsidP="00063314"/>
    <w:p w14:paraId="1D004245" w14:textId="77777777" w:rsidR="00063314" w:rsidRPr="00063314" w:rsidRDefault="00063314" w:rsidP="00063314">
      <w:pPr>
        <w:keepNext/>
        <w:rPr>
          <w:u w:val="single"/>
        </w:rPr>
      </w:pPr>
      <w:r w:rsidRPr="00063314">
        <w:rPr>
          <w:u w:val="single"/>
        </w:rPr>
        <w:t>1.2 Boligbetaling – fiktiv boligstøtte</w:t>
      </w:r>
    </w:p>
    <w:p w14:paraId="2DFB060B" w14:textId="77777777" w:rsidR="00063314" w:rsidRDefault="00063314" w:rsidP="00063314">
      <w:r>
        <w:t xml:space="preserve">Den fiktive boligstøtte beregnes med værktøj fra Udbetaling Danmark: </w:t>
      </w:r>
    </w:p>
    <w:p w14:paraId="12239796" w14:textId="77777777" w:rsidR="00063314" w:rsidRDefault="00063314" w:rsidP="00063314">
      <w:hyperlink r:id="rId9" w:history="1">
        <w:r w:rsidRPr="001C4F2B">
          <w:rPr>
            <w:rStyle w:val="Hyperlink"/>
          </w:rPr>
          <w:t>https://www.borger.dk/Handlingsside?selfserviceId=a153fd97-6252-4058-ac3f-5a59079cbded</w:t>
        </w:r>
      </w:hyperlink>
      <w:r>
        <w:t xml:space="preserve"> Boligstøtten beregnes på baggrund af borgerens indtægt, udgift til bolig m.m.</w:t>
      </w:r>
    </w:p>
    <w:p w14:paraId="7A7B02D2" w14:textId="77777777" w:rsidR="00960FC9" w:rsidRDefault="00960FC9" w:rsidP="00063314"/>
    <w:p w14:paraId="5C282E5E" w14:textId="77777777" w:rsidR="00063314" w:rsidRPr="00063314" w:rsidRDefault="00063314" w:rsidP="00063314">
      <w:pPr>
        <w:rPr>
          <w:u w:val="single"/>
        </w:rPr>
      </w:pPr>
      <w:r w:rsidRPr="00063314">
        <w:rPr>
          <w:u w:val="single"/>
        </w:rPr>
        <w:t>1.3 El og varme</w:t>
      </w:r>
    </w:p>
    <w:p w14:paraId="0C87C490" w14:textId="77777777" w:rsidR="00063314" w:rsidRDefault="00063314" w:rsidP="00063314">
      <w:r>
        <w:t>Betaling for el og varme fastsættes således, at driftsherrens f</w:t>
      </w:r>
      <w:r w:rsidRPr="007903E1">
        <w:t>aktisk</w:t>
      </w:r>
      <w:r>
        <w:t>e udgifter dækkes, inkl. udgifter til moms. El og varme opgøres separat, således at borgeren kan søge om varmetillæg.</w:t>
      </w:r>
    </w:p>
    <w:p w14:paraId="4F8C77D1" w14:textId="77777777" w:rsidR="00960FC9" w:rsidRDefault="00960FC9" w:rsidP="00063314"/>
    <w:p w14:paraId="5ADD6CE8" w14:textId="77777777" w:rsidR="00063314" w:rsidRPr="00063314" w:rsidRDefault="00063314" w:rsidP="00063314">
      <w:pPr>
        <w:rPr>
          <w:u w:val="single"/>
        </w:rPr>
      </w:pPr>
      <w:r w:rsidRPr="00063314">
        <w:rPr>
          <w:u w:val="single"/>
        </w:rPr>
        <w:t>1.4 Fastsættelse af boligbetaling</w:t>
      </w:r>
    </w:p>
    <w:p w14:paraId="7BA7F444" w14:textId="77777777" w:rsidR="00063314" w:rsidRDefault="00063314" w:rsidP="00063314">
      <w:r>
        <w:t>Handlekommunen beregner og fastsætter den samlede boligbetaling og opkræver egenbetaling ved borgeren. Driftsherren tilvejebringer oplysninger om boligens m2 samt andel af fællesarealer samt forventet forbrug af el og varme.</w:t>
      </w:r>
    </w:p>
    <w:p w14:paraId="7552DBCC" w14:textId="77777777" w:rsidR="00063314" w:rsidRDefault="00063314" w:rsidP="00063314">
      <w:r>
        <w:t>Boligbetalingen beregnes på baggrund af beboerens bolig m2 samt andel af fællesarealer ganget m2-prisen. Herfra modregnes den fiktive boligstøtte og tillægges den forventede udgift til el og varme.</w:t>
      </w:r>
    </w:p>
    <w:p w14:paraId="06C70E22" w14:textId="77777777" w:rsidR="00AD711E" w:rsidRDefault="00AD711E" w:rsidP="00AD711E">
      <w:r>
        <w:t>Handlekommunen skal nedsætte borgerens egenbetaling til husleje, hvis ikke borgeren har midler til personlige fornødenheder</w:t>
      </w:r>
      <w:r w:rsidR="004D009D">
        <w:t xml:space="preserve"> eller bevarelsen af egen bolig</w:t>
      </w:r>
      <w:r>
        <w:t>, når egenbetaling fastsat efter ovenstående, er fratrukket borgerens indkomst. Egenbetalingen kan yderligere nedsættes, eller periodevist bortfalde, hvis handlekommunen vurderer, at borgeren har et behov for at spare op, f.eks. til boligindskud.</w:t>
      </w:r>
    </w:p>
    <w:p w14:paraId="1D75ECEB" w14:textId="77777777" w:rsidR="004D009D" w:rsidRDefault="004D009D" w:rsidP="00AD711E">
      <w:r>
        <w:t>Hvis beboeren ikke har en indtægt, opkræves der ikke betaling for opholdet. Der udbetales et beløb til borgeren til personlige fornødenheder.</w:t>
      </w:r>
    </w:p>
    <w:p w14:paraId="500EC08C" w14:textId="77777777" w:rsidR="00236E42" w:rsidRDefault="00236E42" w:rsidP="00236E42"/>
    <w:p w14:paraId="60FD9825" w14:textId="77777777" w:rsidR="00D85555" w:rsidRPr="00AD711E" w:rsidRDefault="00AD711E" w:rsidP="004D009D">
      <w:pPr>
        <w:keepNext/>
        <w:rPr>
          <w:u w:val="single"/>
        </w:rPr>
      </w:pPr>
      <w:r w:rsidRPr="00AD711E">
        <w:rPr>
          <w:u w:val="single"/>
        </w:rPr>
        <w:t xml:space="preserve">2. Integrerede serviceydelser </w:t>
      </w:r>
    </w:p>
    <w:p w14:paraId="7BC2A2BF" w14:textId="77777777" w:rsidR="00CF791B" w:rsidRDefault="00CF791B" w:rsidP="00CF791B">
      <w:r>
        <w:t>Integrerede serviceydelser er serviceydelse</w:t>
      </w:r>
      <w:r w:rsidR="004D2B17">
        <w:t>r som</w:t>
      </w:r>
      <w:r>
        <w:t xml:space="preserve"> indgår som en del af tilbuddet, der ikke kan fravælges.</w:t>
      </w:r>
      <w:r w:rsidRPr="00486CE9">
        <w:t xml:space="preserve"> </w:t>
      </w:r>
      <w:r>
        <w:t xml:space="preserve">Det tilstræbes at så mange serviceydelser som muligt skal være valgfrie, da dette er lettest administrativt. </w:t>
      </w:r>
    </w:p>
    <w:p w14:paraId="74EA7B62" w14:textId="77777777" w:rsidR="00AD711E" w:rsidRDefault="00AD711E" w:rsidP="00AD711E">
      <w:r>
        <w:lastRenderedPageBreak/>
        <w:t>Driftsherren skal give borgeren og handlekommunen skriftlig besked om hvilke ydelser der er integrerede i tilbuddet, og som borgeren der IKKE kan fravælge.</w:t>
      </w:r>
    </w:p>
    <w:p w14:paraId="628C647F" w14:textId="77777777" w:rsidR="00AD711E" w:rsidRDefault="00AD711E" w:rsidP="00AD711E">
      <w:r>
        <w:t>Det er handlekommunen der fastsætter og opkræver borgerens egenbetaling. Driftsherren bidrager med oplysninger om de faktiske udgifter, og sender regningen for ydelsen til handlekommunen.</w:t>
      </w:r>
      <w:r w:rsidR="00F44365" w:rsidRPr="00F44365">
        <w:t xml:space="preserve"> </w:t>
      </w:r>
    </w:p>
    <w:p w14:paraId="3EF84CC1" w14:textId="77777777" w:rsidR="00AD711E" w:rsidRDefault="00AD711E" w:rsidP="00AD711E">
      <w:r>
        <w:t>Fastsættelsen af egenbetalingen for ydelser der er en integreret del af opholdet i § 107, skal som hovedregel ske på grundlag af de faktiske gennemsnitlige udgifter til ydelserne. Borgeren kan ikke fravælge ydelserne, hvorfor egenbetaling</w:t>
      </w:r>
      <w:r w:rsidR="00F71FCA">
        <w:t>en kan nedsættes</w:t>
      </w:r>
      <w:r>
        <w:t>.</w:t>
      </w:r>
    </w:p>
    <w:p w14:paraId="56A5622D" w14:textId="77777777" w:rsidR="00AD711E" w:rsidRDefault="00AD711E" w:rsidP="00AD711E">
      <w:r>
        <w:t>Handlekommunen skal nedsætte borgerens egenbetaling, til de serviceydelser der er en integreret del af tilbuddet, hvis ikke borgeren har midler til personlige fornødenheder, når egenbetaling fastsat efter ovenstående, er fratrukket borgerens indkomst. Egenbetalingen kan yderligere nedsættes, eller periodevist bortfalde, hvis handlekommunen vurderer, at borgeren har et behov for at spare op, f.eks. til boligindskud.</w:t>
      </w:r>
    </w:p>
    <w:p w14:paraId="21B43EED" w14:textId="77777777" w:rsidR="000B2C4C" w:rsidRDefault="000B2C4C" w:rsidP="000B2C4C"/>
    <w:p w14:paraId="1ADED720" w14:textId="77777777" w:rsidR="000B2C4C" w:rsidRDefault="000B2C4C" w:rsidP="000B2C4C">
      <w:r>
        <w:t>Eksempler på integrerede serviceydelser:</w:t>
      </w:r>
    </w:p>
    <w:p w14:paraId="71EFB5F9" w14:textId="77777777" w:rsidR="000B2C4C" w:rsidRDefault="000B2C4C" w:rsidP="000B2C4C">
      <w:r>
        <w:t xml:space="preserve">Madservice, tøjvask, fælles indkøb af toiletartikler og rengøringsartikler, </w:t>
      </w:r>
      <w:proofErr w:type="spellStart"/>
      <w:r>
        <w:t>ect</w:t>
      </w:r>
      <w:proofErr w:type="spellEnd"/>
      <w:r>
        <w:t>.</w:t>
      </w:r>
    </w:p>
    <w:p w14:paraId="1424F903" w14:textId="77777777" w:rsidR="00B5189A" w:rsidRDefault="00B5189A" w:rsidP="000B2C4C"/>
    <w:p w14:paraId="69719CC3" w14:textId="77777777" w:rsidR="00AD711E" w:rsidRPr="00AD711E" w:rsidRDefault="00063314" w:rsidP="00E22B95">
      <w:pPr>
        <w:keepNext/>
        <w:rPr>
          <w:u w:val="single"/>
        </w:rPr>
      </w:pPr>
      <w:r>
        <w:rPr>
          <w:u w:val="single"/>
        </w:rPr>
        <w:t>3</w:t>
      </w:r>
      <w:r w:rsidR="00AD711E" w:rsidRPr="00AD711E">
        <w:rPr>
          <w:u w:val="single"/>
        </w:rPr>
        <w:t xml:space="preserve">. Valgfrie serviceydelser </w:t>
      </w:r>
    </w:p>
    <w:p w14:paraId="4697D947" w14:textId="77777777" w:rsidR="00063314" w:rsidRDefault="00063314">
      <w:r>
        <w:t>Valgfrie serviceydelser er serviceydelser, som borgeren kan til- eller fravælge.</w:t>
      </w:r>
    </w:p>
    <w:p w14:paraId="4A775CF9" w14:textId="77777777" w:rsidR="00D85555" w:rsidRDefault="00AD711E">
      <w:r>
        <w:t xml:space="preserve">Det er driftsherren der fastsætter og opkræver egenbetaling ud fra de faktiske gennemsnitlige udgifter til ydelserne. </w:t>
      </w:r>
    </w:p>
    <w:p w14:paraId="603690AD" w14:textId="77777777" w:rsidR="000B2C4C" w:rsidRDefault="000B2C4C" w:rsidP="000B2C4C">
      <w:r>
        <w:t>Det tilstræbes at så mange serviceydelser som muligt skal være valgfrie, da dette er lettest administrativt.</w:t>
      </w:r>
    </w:p>
    <w:p w14:paraId="28591CFC" w14:textId="77777777" w:rsidR="001071D2" w:rsidRDefault="001071D2"/>
    <w:p w14:paraId="7DB9A4BE" w14:textId="77777777" w:rsidR="000B2C4C" w:rsidRDefault="000B2C4C">
      <w:r>
        <w:t xml:space="preserve">Eksempler på valgfrie serviceydelser: </w:t>
      </w:r>
    </w:p>
    <w:p w14:paraId="55F20BE0" w14:textId="77777777" w:rsidR="000B2C4C" w:rsidRDefault="000B2C4C">
      <w:r>
        <w:t xml:space="preserve">Madservice, tøjvask, fælles indkøb af toiletartikler og rengøringsartikler, </w:t>
      </w:r>
      <w:proofErr w:type="spellStart"/>
      <w:r>
        <w:t>ect</w:t>
      </w:r>
      <w:proofErr w:type="spellEnd"/>
      <w:r>
        <w:t>.</w:t>
      </w:r>
    </w:p>
    <w:p w14:paraId="41BE7E25" w14:textId="77777777" w:rsidR="00063314" w:rsidRDefault="00063314"/>
    <w:p w14:paraId="43FA2F40" w14:textId="77777777" w:rsidR="00063314" w:rsidRPr="00AD711E" w:rsidRDefault="00063314" w:rsidP="00063314">
      <w:pPr>
        <w:rPr>
          <w:u w:val="single"/>
        </w:rPr>
      </w:pPr>
      <w:r>
        <w:rPr>
          <w:u w:val="single"/>
        </w:rPr>
        <w:t>4</w:t>
      </w:r>
      <w:r w:rsidRPr="00AD711E">
        <w:rPr>
          <w:u w:val="single"/>
        </w:rPr>
        <w:t xml:space="preserve">. </w:t>
      </w:r>
      <w:r>
        <w:rPr>
          <w:u w:val="single"/>
        </w:rPr>
        <w:t>Samlet vurdering af borgerens egenbetaling</w:t>
      </w:r>
    </w:p>
    <w:p w14:paraId="6FF393F9" w14:textId="77777777" w:rsidR="00063314" w:rsidRDefault="00063314" w:rsidP="00063314">
      <w:r>
        <w:t>Der skal altid foretages en samlet vurdering af borgerens egenbetaling, for at sikre at borgeren har et rimeligt rådighedsbeløb, efter betaling af boligudgifter og serviceydelser. Hvis borgeren ikke har et rimeligt rådighedsbeløb, efter betaling af boligudgifter og serviceydelser, er det boligudgiften der skal nedsættes.</w:t>
      </w:r>
    </w:p>
    <w:p w14:paraId="6E809C9C" w14:textId="77777777" w:rsidR="001071D2" w:rsidRDefault="001071D2"/>
    <w:p w14:paraId="5704EEE7" w14:textId="77777777" w:rsidR="00345C90" w:rsidRPr="004D009D" w:rsidRDefault="001071D2">
      <w:pPr>
        <w:rPr>
          <w:u w:val="single"/>
        </w:rPr>
      </w:pPr>
      <w:r>
        <w:rPr>
          <w:u w:val="single"/>
        </w:rPr>
        <w:t>K</w:t>
      </w:r>
      <w:r w:rsidR="00F94489" w:rsidRPr="004D009D">
        <w:rPr>
          <w:u w:val="single"/>
        </w:rPr>
        <w:t>ilde</w:t>
      </w:r>
      <w:r w:rsidR="00345C90" w:rsidRPr="004D009D">
        <w:rPr>
          <w:u w:val="single"/>
        </w:rPr>
        <w:t>r</w:t>
      </w:r>
      <w:r w:rsidR="00F94489" w:rsidRPr="004D009D">
        <w:rPr>
          <w:u w:val="single"/>
        </w:rPr>
        <w:t xml:space="preserve">: </w:t>
      </w:r>
    </w:p>
    <w:p w14:paraId="734DF2D9" w14:textId="77777777" w:rsidR="00345C90" w:rsidRDefault="005142AA">
      <w:r>
        <w:lastRenderedPageBreak/>
        <w:t xml:space="preserve">Hovedregel: </w:t>
      </w:r>
      <w:r w:rsidR="00345C90">
        <w:t>Madservice: BEK nr. 1576 af 27/12/</w:t>
      </w:r>
      <w:r w:rsidR="001D4C28">
        <w:t>2014</w:t>
      </w:r>
    </w:p>
    <w:p w14:paraId="106A745C" w14:textId="77777777" w:rsidR="00345C90" w:rsidRDefault="005142AA">
      <w:r>
        <w:t xml:space="preserve">Hovedregel: </w:t>
      </w:r>
      <w:r w:rsidR="00345C90">
        <w:t>Husleje, el, vand, varme, tøjvask, mv.: BEK nr. 1387 af 12/12/2006</w:t>
      </w:r>
    </w:p>
    <w:p w14:paraId="5EFE94E8" w14:textId="77777777" w:rsidR="00F94489" w:rsidRDefault="00345C90">
      <w:r>
        <w:t xml:space="preserve">Undtagelser: </w:t>
      </w:r>
      <w:r w:rsidR="00F94489">
        <w:t>Ankestyrelsens principafgørelse 97-16 om egenbetaling – midlertidigt botilbud – integreret del af botilbuddet.</w:t>
      </w:r>
    </w:p>
    <w:p w14:paraId="67A37DEB" w14:textId="77777777" w:rsidR="00F94489" w:rsidRDefault="00F44365">
      <w:r>
        <w:t>Satser for betalingsandele, indkomst, mv. fastsættes en gang årligt. For 2017 gælder VEJL nr. 10366 af 22/12/2016, tabel 5</w:t>
      </w:r>
    </w:p>
    <w:sectPr w:rsidR="00F94489">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4B079" w14:textId="77777777" w:rsidR="00DA3D5F" w:rsidRDefault="00DA3D5F" w:rsidP="00DF5BFF">
      <w:pPr>
        <w:spacing w:after="0" w:line="240" w:lineRule="auto"/>
      </w:pPr>
      <w:r>
        <w:separator/>
      </w:r>
    </w:p>
  </w:endnote>
  <w:endnote w:type="continuationSeparator" w:id="0">
    <w:p w14:paraId="299E8049" w14:textId="77777777" w:rsidR="00DA3D5F" w:rsidRDefault="00DA3D5F" w:rsidP="00DF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1B83" w14:textId="77777777" w:rsidR="00DF5BFF" w:rsidRPr="00DF5BFF" w:rsidRDefault="00DF5BFF" w:rsidP="00DF5BFF">
    <w:pPr>
      <w:pStyle w:val="Sidefod"/>
      <w:jc w:val="right"/>
      <w:rPr>
        <w:sz w:val="16"/>
        <w:szCs w:val="16"/>
      </w:rPr>
    </w:pPr>
    <w:r>
      <w:rPr>
        <w:noProof/>
        <w:color w:val="000000" w:themeColor="accent1"/>
        <w:lang w:eastAsia="da-DK"/>
      </w:rPr>
      <mc:AlternateContent>
        <mc:Choice Requires="wps">
          <w:drawing>
            <wp:anchor distT="0" distB="0" distL="114300" distR="114300" simplePos="0" relativeHeight="251659264" behindDoc="0" locked="0" layoutInCell="1" allowOverlap="1" wp14:anchorId="51842FE4" wp14:editId="572E1B90">
              <wp:simplePos x="0" y="0"/>
              <wp:positionH relativeFrom="page">
                <wp:align>center</wp:align>
              </wp:positionH>
              <wp:positionV relativeFrom="page">
                <wp:align>center</wp:align>
              </wp:positionV>
              <wp:extent cx="7364730" cy="9528810"/>
              <wp:effectExtent l="19050" t="19050" r="0" b="7620"/>
              <wp:wrapNone/>
              <wp:docPr id="40" name="Rektangel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2BC37A" id="Rektangel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HE5h3ufAgAAqwUAAA4AAAAAAAAAAAAAAAAALgIAAGRycy9l&#10;Mm9Eb2MueG1sUEsBAi0AFAAGAAgAAAAhAHe6ul3bAAAABwEAAA8AAAAAAAAAAAAAAAAA+QQAAGRy&#10;cy9kb3ducmV2LnhtbFBLBQYAAAAABAAEAPMAAAABBgAAAAA=&#10;" filled="f" strokecolor="#7f7f7f [1614]" strokeweight="2pt">
              <w10:wrap anchorx="page" anchory="page"/>
            </v:rect>
          </w:pict>
        </mc:Fallback>
      </mc:AlternateContent>
    </w:r>
    <w:r>
      <w:rPr>
        <w:color w:val="000000" w:themeColor="accent1"/>
      </w:rPr>
      <w:t xml:space="preserve"> </w:t>
    </w:r>
    <w:r w:rsidRPr="00DF5BFF">
      <w:rPr>
        <w:rFonts w:asciiTheme="majorHAnsi" w:eastAsiaTheme="majorEastAsia" w:hAnsiTheme="majorHAnsi" w:cstheme="majorBidi"/>
        <w:color w:val="000000" w:themeColor="accent1"/>
        <w:sz w:val="16"/>
        <w:szCs w:val="16"/>
      </w:rPr>
      <w:t xml:space="preserve">S. </w:t>
    </w:r>
    <w:r w:rsidRPr="00DF5BFF">
      <w:rPr>
        <w:rFonts w:eastAsiaTheme="minorEastAsia"/>
        <w:color w:val="000000" w:themeColor="accent1"/>
        <w:sz w:val="16"/>
        <w:szCs w:val="16"/>
      </w:rPr>
      <w:fldChar w:fldCharType="begin"/>
    </w:r>
    <w:r w:rsidRPr="00DF5BFF">
      <w:rPr>
        <w:color w:val="000000" w:themeColor="accent1"/>
        <w:sz w:val="16"/>
        <w:szCs w:val="16"/>
      </w:rPr>
      <w:instrText>PAGE    \* MERGEFORMAT</w:instrText>
    </w:r>
    <w:r w:rsidRPr="00DF5BFF">
      <w:rPr>
        <w:rFonts w:eastAsiaTheme="minorEastAsia"/>
        <w:color w:val="000000" w:themeColor="accent1"/>
        <w:sz w:val="16"/>
        <w:szCs w:val="16"/>
      </w:rPr>
      <w:fldChar w:fldCharType="separate"/>
    </w:r>
    <w:r w:rsidR="00C65B39" w:rsidRPr="00C65B39">
      <w:rPr>
        <w:rFonts w:asciiTheme="majorHAnsi" w:eastAsiaTheme="majorEastAsia" w:hAnsiTheme="majorHAnsi" w:cstheme="majorBidi"/>
        <w:noProof/>
        <w:color w:val="000000" w:themeColor="accent1"/>
        <w:sz w:val="16"/>
        <w:szCs w:val="16"/>
      </w:rPr>
      <w:t>4</w:t>
    </w:r>
    <w:r w:rsidRPr="00DF5BFF">
      <w:rPr>
        <w:rFonts w:asciiTheme="majorHAnsi" w:eastAsiaTheme="majorEastAsia" w:hAnsiTheme="majorHAnsi" w:cstheme="majorBidi"/>
        <w:color w:val="000000"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EFA6" w14:textId="77777777" w:rsidR="00DA3D5F" w:rsidRDefault="00DA3D5F" w:rsidP="00DF5BFF">
      <w:pPr>
        <w:spacing w:after="0" w:line="240" w:lineRule="auto"/>
      </w:pPr>
      <w:r>
        <w:separator/>
      </w:r>
    </w:p>
  </w:footnote>
  <w:footnote w:type="continuationSeparator" w:id="0">
    <w:p w14:paraId="4FAA00FA" w14:textId="77777777" w:rsidR="00DA3D5F" w:rsidRDefault="00DA3D5F" w:rsidP="00DF5BFF">
      <w:pPr>
        <w:spacing w:after="0" w:line="240" w:lineRule="auto"/>
      </w:pPr>
      <w:r>
        <w:continuationSeparator/>
      </w:r>
    </w:p>
  </w:footnote>
  <w:footnote w:id="1">
    <w:p w14:paraId="1EE44612" w14:textId="77777777" w:rsidR="00960FC9" w:rsidRDefault="00960FC9">
      <w:pPr>
        <w:pStyle w:val="Fodnotetekst"/>
      </w:pPr>
      <w:r>
        <w:rPr>
          <w:rStyle w:val="Fodnotehenvisning"/>
        </w:rPr>
        <w:footnoteRef/>
      </w:r>
      <w:r>
        <w:t xml:space="preserve"> </w:t>
      </w:r>
      <w:r w:rsidRPr="00960FC9">
        <w:rPr>
          <w:sz w:val="16"/>
          <w:szCs w:val="16"/>
        </w:rPr>
        <w:t>Der er ingen hje</w:t>
      </w:r>
      <w:r>
        <w:rPr>
          <w:sz w:val="16"/>
          <w:szCs w:val="16"/>
        </w:rPr>
        <w:t>mmel til at kommunen må tjene</w:t>
      </w:r>
      <w:r w:rsidRPr="00960FC9">
        <w:rPr>
          <w:sz w:val="16"/>
          <w:szCs w:val="16"/>
        </w:rPr>
        <w:t xml:space="preserve"> </w:t>
      </w:r>
      <w:r>
        <w:rPr>
          <w:sz w:val="16"/>
          <w:szCs w:val="16"/>
        </w:rPr>
        <w:t xml:space="preserve">på </w:t>
      </w:r>
      <w:r w:rsidRPr="00960FC9">
        <w:rPr>
          <w:sz w:val="16"/>
          <w:szCs w:val="16"/>
        </w:rPr>
        <w:t xml:space="preserve">egenbetalingen vedr. boligudgiften. Omvendt fremgår det heller ikke af lovteksten, vejledningen eller nuværende ankesager, at kommunen ikke </w:t>
      </w:r>
      <w:r>
        <w:rPr>
          <w:sz w:val="16"/>
          <w:szCs w:val="16"/>
        </w:rPr>
        <w:t>må tjene</w:t>
      </w:r>
      <w:r w:rsidRPr="00960FC9">
        <w:rPr>
          <w:sz w:val="16"/>
          <w:szCs w:val="16"/>
        </w:rPr>
        <w:t xml:space="preserve"> </w:t>
      </w:r>
      <w:r>
        <w:rPr>
          <w:sz w:val="16"/>
          <w:szCs w:val="16"/>
        </w:rPr>
        <w:t xml:space="preserve">på </w:t>
      </w:r>
      <w:r w:rsidRPr="00960FC9">
        <w:rPr>
          <w:sz w:val="16"/>
          <w:szCs w:val="16"/>
        </w:rPr>
        <w:t>egenbetalingen vedr. bolig.</w:t>
      </w:r>
      <w:r>
        <w:rPr>
          <w:sz w:val="16"/>
          <w:szCs w:val="16"/>
        </w:rPr>
        <w:t xml:space="preserve"> I Ankestyrelsens principafgørelse 97-16, fremgår det dog at kommunen ikke må tjene på serviceydelser, da der ikke er hjemmel til det. Det er op til hver enkelt kommune at beslutte om man vil tillægge samme praksis vedr. egenbetalingen på bolig. Notatet tilrettes, hvis der på et tidspunkt kommer en afgørelse om dette.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B3FC" w14:textId="77777777" w:rsidR="00DF5BFF" w:rsidRPr="00DF5BFF" w:rsidRDefault="00DF5BFF">
    <w:pPr>
      <w:pStyle w:val="Sidehoved"/>
      <w:rPr>
        <w:sz w:val="16"/>
        <w:szCs w:val="16"/>
      </w:rPr>
    </w:pPr>
    <w:r w:rsidRPr="00DF5BFF">
      <w:rPr>
        <w:sz w:val="16"/>
        <w:szCs w:val="16"/>
      </w:rPr>
      <w:ptab w:relativeTo="margin" w:alignment="center" w:leader="none"/>
    </w:r>
    <w:r w:rsidRPr="00DF5BFF">
      <w:rPr>
        <w:sz w:val="16"/>
        <w:szCs w:val="16"/>
      </w:rPr>
      <w:ptab w:relativeTo="margin" w:alignment="right" w:leader="none"/>
    </w:r>
    <w:r w:rsidR="00F71FCA">
      <w:rPr>
        <w:sz w:val="16"/>
        <w:szCs w:val="16"/>
      </w:rPr>
      <w:t>19.05</w:t>
    </w:r>
    <w:r w:rsidRPr="00DF5BFF">
      <w:rPr>
        <w:sz w:val="16"/>
        <w:szCs w:val="16"/>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D5A1D"/>
    <w:multiLevelType w:val="hybridMultilevel"/>
    <w:tmpl w:val="68AC00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4930ADC"/>
    <w:multiLevelType w:val="hybridMultilevel"/>
    <w:tmpl w:val="47E0EC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2142012"/>
    <w:multiLevelType w:val="hybridMultilevel"/>
    <w:tmpl w:val="08620A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AD56557"/>
    <w:multiLevelType w:val="hybridMultilevel"/>
    <w:tmpl w:val="3306E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6C77B4"/>
    <w:multiLevelType w:val="hybridMultilevel"/>
    <w:tmpl w:val="109805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F7F72AE"/>
    <w:multiLevelType w:val="hybridMultilevel"/>
    <w:tmpl w:val="2DCA02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90746319">
    <w:abstractNumId w:val="4"/>
  </w:num>
  <w:num w:numId="2" w16cid:durableId="1275166199">
    <w:abstractNumId w:val="3"/>
  </w:num>
  <w:num w:numId="3" w16cid:durableId="2024286398">
    <w:abstractNumId w:val="5"/>
  </w:num>
  <w:num w:numId="4" w16cid:durableId="297221292">
    <w:abstractNumId w:val="0"/>
  </w:num>
  <w:num w:numId="5" w16cid:durableId="1961640275">
    <w:abstractNumId w:val="1"/>
  </w:num>
  <w:num w:numId="6" w16cid:durableId="501630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31"/>
    <w:rsid w:val="00045D49"/>
    <w:rsid w:val="00063314"/>
    <w:rsid w:val="000B2C4C"/>
    <w:rsid w:val="000F2F18"/>
    <w:rsid w:val="001071D2"/>
    <w:rsid w:val="001504E1"/>
    <w:rsid w:val="001818FC"/>
    <w:rsid w:val="001B6320"/>
    <w:rsid w:val="001D4C28"/>
    <w:rsid w:val="00236E42"/>
    <w:rsid w:val="0028151F"/>
    <w:rsid w:val="00294F89"/>
    <w:rsid w:val="002E3408"/>
    <w:rsid w:val="002E441A"/>
    <w:rsid w:val="00345C90"/>
    <w:rsid w:val="0044214D"/>
    <w:rsid w:val="004D009D"/>
    <w:rsid w:val="004D2807"/>
    <w:rsid w:val="004D2B17"/>
    <w:rsid w:val="004F1F82"/>
    <w:rsid w:val="005142AA"/>
    <w:rsid w:val="00567E75"/>
    <w:rsid w:val="0057140F"/>
    <w:rsid w:val="005C56D9"/>
    <w:rsid w:val="006E7C2B"/>
    <w:rsid w:val="00767E88"/>
    <w:rsid w:val="007D28D7"/>
    <w:rsid w:val="00817F47"/>
    <w:rsid w:val="00857F0D"/>
    <w:rsid w:val="008777DD"/>
    <w:rsid w:val="00960FC9"/>
    <w:rsid w:val="00976D17"/>
    <w:rsid w:val="00A123D7"/>
    <w:rsid w:val="00A243CC"/>
    <w:rsid w:val="00A2647C"/>
    <w:rsid w:val="00A63383"/>
    <w:rsid w:val="00A6429F"/>
    <w:rsid w:val="00AD711E"/>
    <w:rsid w:val="00AD7DAF"/>
    <w:rsid w:val="00B5189A"/>
    <w:rsid w:val="00BA2131"/>
    <w:rsid w:val="00BE0544"/>
    <w:rsid w:val="00C65B39"/>
    <w:rsid w:val="00CE2355"/>
    <w:rsid w:val="00CF2C25"/>
    <w:rsid w:val="00CF791B"/>
    <w:rsid w:val="00D30546"/>
    <w:rsid w:val="00D462C0"/>
    <w:rsid w:val="00D85555"/>
    <w:rsid w:val="00DA3D5F"/>
    <w:rsid w:val="00DD5A65"/>
    <w:rsid w:val="00DF5BFF"/>
    <w:rsid w:val="00E05428"/>
    <w:rsid w:val="00E22B95"/>
    <w:rsid w:val="00EB703D"/>
    <w:rsid w:val="00F36019"/>
    <w:rsid w:val="00F44365"/>
    <w:rsid w:val="00F71FCA"/>
    <w:rsid w:val="00F944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2D7F"/>
  <w15:docId w15:val="{2D5FA4DC-1C5B-4149-81E8-A6F8CA13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28"/>
    <w:rPr>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D2807"/>
    <w:pPr>
      <w:ind w:left="720"/>
      <w:contextualSpacing/>
    </w:pPr>
  </w:style>
  <w:style w:type="paragraph" w:styleId="Sidehoved">
    <w:name w:val="header"/>
    <w:basedOn w:val="Normal"/>
    <w:link w:val="SidehovedTegn"/>
    <w:uiPriority w:val="99"/>
    <w:unhideWhenUsed/>
    <w:rsid w:val="00DF5BF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5BFF"/>
    <w:rPr>
      <w:sz w:val="20"/>
    </w:rPr>
  </w:style>
  <w:style w:type="paragraph" w:styleId="Sidefod">
    <w:name w:val="footer"/>
    <w:basedOn w:val="Normal"/>
    <w:link w:val="SidefodTegn"/>
    <w:uiPriority w:val="99"/>
    <w:unhideWhenUsed/>
    <w:rsid w:val="00DF5BF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5BFF"/>
    <w:rPr>
      <w:sz w:val="20"/>
    </w:rPr>
  </w:style>
  <w:style w:type="paragraph" w:styleId="Markeringsbobletekst">
    <w:name w:val="Balloon Text"/>
    <w:basedOn w:val="Normal"/>
    <w:link w:val="MarkeringsbobletekstTegn"/>
    <w:uiPriority w:val="99"/>
    <w:semiHidden/>
    <w:unhideWhenUsed/>
    <w:rsid w:val="00DF5BF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5BFF"/>
    <w:rPr>
      <w:rFonts w:ascii="Tahoma" w:hAnsi="Tahoma" w:cs="Tahoma"/>
      <w:sz w:val="16"/>
      <w:szCs w:val="16"/>
    </w:rPr>
  </w:style>
  <w:style w:type="character" w:styleId="Hyperlink">
    <w:name w:val="Hyperlink"/>
    <w:basedOn w:val="Standardskrifttypeiafsnit"/>
    <w:uiPriority w:val="99"/>
    <w:unhideWhenUsed/>
    <w:rsid w:val="00E22B95"/>
    <w:rPr>
      <w:color w:val="0000FF"/>
      <w:u w:val="single"/>
    </w:rPr>
  </w:style>
  <w:style w:type="character" w:styleId="BesgtLink">
    <w:name w:val="FollowedHyperlink"/>
    <w:basedOn w:val="Standardskrifttypeiafsnit"/>
    <w:uiPriority w:val="99"/>
    <w:semiHidden/>
    <w:unhideWhenUsed/>
    <w:rsid w:val="00E22B95"/>
    <w:rPr>
      <w:color w:val="800080" w:themeColor="followedHyperlink"/>
      <w:u w:val="single"/>
    </w:rPr>
  </w:style>
  <w:style w:type="character" w:styleId="Kommentarhenvisning">
    <w:name w:val="annotation reference"/>
    <w:basedOn w:val="Standardskrifttypeiafsnit"/>
    <w:uiPriority w:val="99"/>
    <w:semiHidden/>
    <w:unhideWhenUsed/>
    <w:rsid w:val="00F36019"/>
    <w:rPr>
      <w:sz w:val="16"/>
      <w:szCs w:val="16"/>
    </w:rPr>
  </w:style>
  <w:style w:type="paragraph" w:styleId="Kommentartekst">
    <w:name w:val="annotation text"/>
    <w:basedOn w:val="Normal"/>
    <w:link w:val="KommentartekstTegn"/>
    <w:uiPriority w:val="99"/>
    <w:semiHidden/>
    <w:unhideWhenUsed/>
    <w:rsid w:val="00F36019"/>
    <w:pPr>
      <w:spacing w:line="240" w:lineRule="auto"/>
    </w:pPr>
    <w:rPr>
      <w:szCs w:val="20"/>
    </w:rPr>
  </w:style>
  <w:style w:type="character" w:customStyle="1" w:styleId="KommentartekstTegn">
    <w:name w:val="Kommentartekst Tegn"/>
    <w:basedOn w:val="Standardskrifttypeiafsnit"/>
    <w:link w:val="Kommentartekst"/>
    <w:uiPriority w:val="99"/>
    <w:semiHidden/>
    <w:rsid w:val="00F36019"/>
    <w:rPr>
      <w:sz w:val="20"/>
      <w:szCs w:val="20"/>
    </w:rPr>
  </w:style>
  <w:style w:type="paragraph" w:styleId="Kommentaremne">
    <w:name w:val="annotation subject"/>
    <w:basedOn w:val="Kommentartekst"/>
    <w:next w:val="Kommentartekst"/>
    <w:link w:val="KommentaremneTegn"/>
    <w:uiPriority w:val="99"/>
    <w:semiHidden/>
    <w:unhideWhenUsed/>
    <w:rsid w:val="00F36019"/>
    <w:rPr>
      <w:b/>
      <w:bCs/>
    </w:rPr>
  </w:style>
  <w:style w:type="character" w:customStyle="1" w:styleId="KommentaremneTegn">
    <w:name w:val="Kommentaremne Tegn"/>
    <w:basedOn w:val="KommentartekstTegn"/>
    <w:link w:val="Kommentaremne"/>
    <w:uiPriority w:val="99"/>
    <w:semiHidden/>
    <w:rsid w:val="00F36019"/>
    <w:rPr>
      <w:b/>
      <w:bCs/>
      <w:sz w:val="20"/>
      <w:szCs w:val="20"/>
    </w:rPr>
  </w:style>
  <w:style w:type="paragraph" w:styleId="Fodnotetekst">
    <w:name w:val="footnote text"/>
    <w:basedOn w:val="Normal"/>
    <w:link w:val="FodnotetekstTegn"/>
    <w:uiPriority w:val="99"/>
    <w:semiHidden/>
    <w:unhideWhenUsed/>
    <w:rsid w:val="00960FC9"/>
    <w:pPr>
      <w:spacing w:after="0" w:line="240" w:lineRule="auto"/>
    </w:pPr>
    <w:rPr>
      <w:szCs w:val="20"/>
    </w:rPr>
  </w:style>
  <w:style w:type="character" w:customStyle="1" w:styleId="FodnotetekstTegn">
    <w:name w:val="Fodnotetekst Tegn"/>
    <w:basedOn w:val="Standardskrifttypeiafsnit"/>
    <w:link w:val="Fodnotetekst"/>
    <w:uiPriority w:val="99"/>
    <w:semiHidden/>
    <w:rsid w:val="00960FC9"/>
    <w:rPr>
      <w:sz w:val="20"/>
      <w:szCs w:val="20"/>
    </w:rPr>
  </w:style>
  <w:style w:type="character" w:styleId="Fodnotehenvisning">
    <w:name w:val="footnote reference"/>
    <w:basedOn w:val="Standardskrifttypeiafsnit"/>
    <w:uiPriority w:val="99"/>
    <w:semiHidden/>
    <w:unhideWhenUsed/>
    <w:rsid w:val="00960F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3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f.dk/analyser/statistikker-og-analyser/huslejestatist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rger.dk/Handlingsside?selfserviceId=a153fd97-6252-4058-ac3f-5a59079cbded" TargetMode="External"/></Relationship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0257-2839-4113-B98F-51D19B36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5288</Characters>
  <Application>Microsoft Office Word</Application>
  <DocSecurity>0</DocSecurity>
  <Lines>107</Lines>
  <Paragraphs>57</Paragraphs>
  <ScaleCrop>false</ScaleCrop>
  <HeadingPairs>
    <vt:vector size="2" baseType="variant">
      <vt:variant>
        <vt:lpstr>Titel</vt:lpstr>
      </vt:variant>
      <vt:variant>
        <vt:i4>1</vt:i4>
      </vt:variant>
    </vt:vector>
  </HeadingPairs>
  <TitlesOfParts>
    <vt:vector size="1" baseType="lpstr">
      <vt:lpstr/>
    </vt:vector>
  </TitlesOfParts>
  <Company>Silkeborg Kommune</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Sascha Regitze Mørch Lund (28196)</dc:creator>
  <cp:lastModifiedBy>Brian Høyer Lorentsen</cp:lastModifiedBy>
  <cp:revision>2</cp:revision>
  <cp:lastPrinted>2017-02-22T12:27:00Z</cp:lastPrinted>
  <dcterms:created xsi:type="dcterms:W3CDTF">2025-03-03T10:06:00Z</dcterms:created>
  <dcterms:modified xsi:type="dcterms:W3CDTF">2025-03-03T10:06:00Z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{CAD75129-079C-4FAC-9484-56D24292FE78}</vt:lpwstr>
  </property>
</Properties>
</file>