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E994" w14:textId="77777777" w:rsidR="00BA2131" w:rsidRPr="00BA2131" w:rsidRDefault="000239E2">
      <w:pPr>
        <w:rPr>
          <w:b/>
          <w:sz w:val="24"/>
          <w:szCs w:val="24"/>
        </w:rPr>
      </w:pPr>
      <w:r>
        <w:rPr>
          <w:b/>
          <w:sz w:val="24"/>
          <w:szCs w:val="24"/>
        </w:rPr>
        <w:t>Vejledning</w:t>
      </w:r>
      <w:r w:rsidR="00BA2131">
        <w:rPr>
          <w:b/>
          <w:sz w:val="24"/>
          <w:szCs w:val="24"/>
        </w:rPr>
        <w:t xml:space="preserve"> for fast</w:t>
      </w:r>
      <w:r w:rsidR="00184F8D">
        <w:rPr>
          <w:b/>
          <w:sz w:val="24"/>
          <w:szCs w:val="24"/>
        </w:rPr>
        <w:t>sættelse af egenbetaling under</w:t>
      </w:r>
      <w:r w:rsidR="00BA2131" w:rsidRPr="00BA2131">
        <w:rPr>
          <w:b/>
          <w:sz w:val="24"/>
          <w:szCs w:val="24"/>
        </w:rPr>
        <w:t xml:space="preserve"> ophold i botilbud efter SEL §</w:t>
      </w:r>
      <w:r w:rsidR="00BA0951">
        <w:rPr>
          <w:b/>
          <w:sz w:val="24"/>
          <w:szCs w:val="24"/>
        </w:rPr>
        <w:t xml:space="preserve"> </w:t>
      </w:r>
      <w:r w:rsidR="00BA2131" w:rsidRPr="00BA2131">
        <w:rPr>
          <w:b/>
          <w:sz w:val="24"/>
          <w:szCs w:val="24"/>
        </w:rPr>
        <w:t>108</w:t>
      </w:r>
    </w:p>
    <w:p w14:paraId="3576B500" w14:textId="77777777" w:rsidR="004D2807" w:rsidRDefault="004D2807"/>
    <w:p w14:paraId="260A9080" w14:textId="77777777" w:rsidR="00D70245" w:rsidRDefault="00054F36" w:rsidP="00D70245">
      <w:r>
        <w:t>E</w:t>
      </w:r>
      <w:r w:rsidR="00D70245">
        <w:t>genbetaling</w:t>
      </w:r>
      <w:r>
        <w:t>en fastsættes i følgende trin</w:t>
      </w:r>
      <w:r w:rsidR="00D70245">
        <w:t>:</w:t>
      </w:r>
    </w:p>
    <w:p w14:paraId="7E564D9F" w14:textId="77777777" w:rsidR="00D70245" w:rsidRDefault="002802FB" w:rsidP="00D70245">
      <w:pPr>
        <w:pStyle w:val="Listeafsnit"/>
        <w:numPr>
          <w:ilvl w:val="0"/>
          <w:numId w:val="2"/>
        </w:numPr>
      </w:pPr>
      <w:r>
        <w:t>Bolig – boligbetaling</w:t>
      </w:r>
      <w:r w:rsidR="000B7231">
        <w:t xml:space="preserve">, </w:t>
      </w:r>
      <w:r w:rsidR="007903E1">
        <w:t>el</w:t>
      </w:r>
      <w:r w:rsidR="00D70245">
        <w:t>, varme</w:t>
      </w:r>
    </w:p>
    <w:p w14:paraId="4FECC5C5" w14:textId="77777777" w:rsidR="00D70245" w:rsidRDefault="00D70245" w:rsidP="00E44EDD">
      <w:pPr>
        <w:pStyle w:val="Listeafsnit"/>
        <w:numPr>
          <w:ilvl w:val="0"/>
          <w:numId w:val="2"/>
        </w:numPr>
      </w:pPr>
      <w:r>
        <w:t>Integrerede serviceydelser</w:t>
      </w:r>
    </w:p>
    <w:p w14:paraId="496BFDE4" w14:textId="77777777" w:rsidR="00054F36" w:rsidRDefault="00054F36" w:rsidP="00D70245">
      <w:pPr>
        <w:pStyle w:val="Listeafsnit"/>
        <w:numPr>
          <w:ilvl w:val="0"/>
          <w:numId w:val="2"/>
        </w:numPr>
      </w:pPr>
      <w:r>
        <w:t>Samlet vur</w:t>
      </w:r>
      <w:r w:rsidR="002C355F">
        <w:t>dering af borgerens betaling for botilbud</w:t>
      </w:r>
    </w:p>
    <w:p w14:paraId="4EF8002D" w14:textId="77777777" w:rsidR="00E44EDD" w:rsidRDefault="00E44EDD" w:rsidP="00D70245">
      <w:pPr>
        <w:pStyle w:val="Listeafsnit"/>
        <w:numPr>
          <w:ilvl w:val="0"/>
          <w:numId w:val="2"/>
        </w:numPr>
      </w:pPr>
      <w:r>
        <w:t>Valgfrie serviceydelser</w:t>
      </w:r>
    </w:p>
    <w:p w14:paraId="1B2B8ADA" w14:textId="77777777" w:rsidR="00ED0AC5" w:rsidRDefault="00ED0AC5" w:rsidP="00DB49EF">
      <w:pPr>
        <w:rPr>
          <w:u w:val="single"/>
        </w:rPr>
      </w:pPr>
    </w:p>
    <w:p w14:paraId="707A9220" w14:textId="77777777" w:rsidR="00DB49EF" w:rsidRPr="00DB49EF" w:rsidRDefault="00DB49EF" w:rsidP="00DB49EF">
      <w:pPr>
        <w:rPr>
          <w:u w:val="single"/>
        </w:rPr>
      </w:pPr>
      <w:r w:rsidRPr="00DB49EF">
        <w:rPr>
          <w:u w:val="single"/>
        </w:rPr>
        <w:t>1. Boligbetaling</w:t>
      </w:r>
    </w:p>
    <w:p w14:paraId="2944DA06" w14:textId="77777777" w:rsidR="00DB49EF" w:rsidRDefault="00DB49EF" w:rsidP="00DB49EF">
      <w:r>
        <w:t>Boligbetaling består af to beregninger. Bo</w:t>
      </w:r>
      <w:r w:rsidR="00FD2B5D">
        <w:t xml:space="preserve">ligbetalingen beregnes på grundlag af boligens </w:t>
      </w:r>
      <w:r w:rsidR="001F695F">
        <w:t>budgetterede</w:t>
      </w:r>
      <w:r w:rsidR="00050F81">
        <w:t xml:space="preserve"> </w:t>
      </w:r>
      <w:r w:rsidR="006B4FA4">
        <w:t>omkostninger</w:t>
      </w:r>
      <w:r w:rsidR="005A78BC">
        <w:t xml:space="preserve"> </w:t>
      </w:r>
      <w:r w:rsidR="00FD2B5D">
        <w:t xml:space="preserve">og beboerens </w:t>
      </w:r>
      <w:r w:rsidR="00050F81">
        <w:t>forvente</w:t>
      </w:r>
      <w:r w:rsidR="005A78BC">
        <w:t>de</w:t>
      </w:r>
      <w:r w:rsidR="00050F81">
        <w:t xml:space="preserve"> </w:t>
      </w:r>
      <w:r w:rsidR="001F695F">
        <w:t xml:space="preserve">indtægt. Herudover </w:t>
      </w:r>
      <w:r w:rsidR="00A752DB">
        <w:t>opkræves</w:t>
      </w:r>
      <w:r w:rsidR="001F695F">
        <w:t xml:space="preserve"> der for el og varme.</w:t>
      </w:r>
    </w:p>
    <w:p w14:paraId="516CF085" w14:textId="77777777" w:rsidR="00D70245" w:rsidRDefault="00DB49EF">
      <w:pPr>
        <w:rPr>
          <w:u w:val="single"/>
        </w:rPr>
      </w:pPr>
      <w:r w:rsidRPr="00DB49EF">
        <w:rPr>
          <w:u w:val="single"/>
        </w:rPr>
        <w:t xml:space="preserve">1.1 Boligbetaling </w:t>
      </w:r>
      <w:r>
        <w:rPr>
          <w:u w:val="single"/>
        </w:rPr>
        <w:t>–</w:t>
      </w:r>
      <w:r w:rsidRPr="00DB49EF">
        <w:rPr>
          <w:u w:val="single"/>
        </w:rPr>
        <w:t xml:space="preserve"> omkostningsbestemt</w:t>
      </w:r>
    </w:p>
    <w:p w14:paraId="5B53FE13" w14:textId="77777777" w:rsidR="00DB49EF" w:rsidRDefault="00050F81" w:rsidP="001F695F">
      <w:pPr>
        <w:pStyle w:val="Sidehoved"/>
        <w:tabs>
          <w:tab w:val="clear" w:pos="4819"/>
          <w:tab w:val="clear" w:pos="9638"/>
        </w:tabs>
        <w:spacing w:after="200" w:line="276" w:lineRule="auto"/>
      </w:pPr>
      <w:r>
        <w:t xml:space="preserve">Den areal- og omkostningsbestemte </w:t>
      </w:r>
      <w:r w:rsidR="001F695F">
        <w:t>boligbetaling</w:t>
      </w:r>
      <w:r>
        <w:t xml:space="preserve"> udgør 10</w:t>
      </w:r>
      <w:r w:rsidR="005A78BC">
        <w:t xml:space="preserve"> </w:t>
      </w:r>
      <w:r>
        <w:t>% af den en</w:t>
      </w:r>
      <w:r w:rsidR="001F695F">
        <w:t>kelte boligs beregnede omkostninger</w:t>
      </w:r>
      <w:r w:rsidR="00A752DB">
        <w:t>. Ejendommens driftsudgifter er de udgifter, som er forbundet med den løbende drift. Specifikation af hvilke omkostninger der må medtages i beregningen findes i vejledning</w:t>
      </w:r>
      <w:r w:rsidR="004B19CE" w:rsidRPr="004B19CE">
        <w:t xml:space="preserve"> nr. 4 til serviceloven</w:t>
      </w:r>
      <w:r w:rsidR="005A78BC">
        <w:t>,</w:t>
      </w:r>
      <w:r w:rsidR="00A752DB">
        <w:t xml:space="preserve"> punkt 116. </w:t>
      </w:r>
      <w:r w:rsidR="003A0D16">
        <w:t>Hertil tillægges 10</w:t>
      </w:r>
      <w:r w:rsidR="005A78BC">
        <w:t xml:space="preserve"> </w:t>
      </w:r>
      <w:r w:rsidR="003A0D16">
        <w:t>% af den seneste ejendomsvurdering. I lejede bygninger medtage</w:t>
      </w:r>
      <w:r w:rsidR="005A78BC">
        <w:t>s</w:t>
      </w:r>
      <w:r w:rsidR="003A0D16">
        <w:t xml:space="preserve"> i stedet boligens husleje. </w:t>
      </w:r>
    </w:p>
    <w:p w14:paraId="4046FDFD" w14:textId="77777777" w:rsidR="003A0D16" w:rsidRPr="00050F81" w:rsidRDefault="003A0D16" w:rsidP="001F695F">
      <w:pPr>
        <w:pStyle w:val="Sidehoved"/>
        <w:tabs>
          <w:tab w:val="clear" w:pos="4819"/>
          <w:tab w:val="clear" w:pos="9638"/>
        </w:tabs>
        <w:spacing w:after="200" w:line="276" w:lineRule="auto"/>
      </w:pPr>
      <w:r>
        <w:t xml:space="preserve">Ejendommes driftsudgifter fordeles på boligareal og serviceareal. Til boligdelen hører </w:t>
      </w:r>
      <w:proofErr w:type="spellStart"/>
      <w:r>
        <w:t>beboerenes</w:t>
      </w:r>
      <w:proofErr w:type="spellEnd"/>
      <w:r>
        <w:t xml:space="preserve"> egen bolig samt fælles opholdsreal. Hjælp til fordeling mellem bolig og serviceareal findes i </w:t>
      </w:r>
      <w:r w:rsidR="004B19CE">
        <w:t>vejledning</w:t>
      </w:r>
      <w:r w:rsidR="004B19CE" w:rsidRPr="004B19CE">
        <w:t xml:space="preserve"> nr. 4 til serviceloven</w:t>
      </w:r>
      <w:r w:rsidR="005A78BC">
        <w:t>,</w:t>
      </w:r>
      <w:r w:rsidR="004B19CE">
        <w:t xml:space="preserve"> </w:t>
      </w:r>
      <w:r>
        <w:t>punkt 118.</w:t>
      </w:r>
    </w:p>
    <w:p w14:paraId="7E8A99A4" w14:textId="77777777" w:rsidR="00FD1D3B" w:rsidRDefault="00FD1D3B">
      <w:r>
        <w:t>Det er driftsherrens opgave</w:t>
      </w:r>
      <w:r w:rsidR="00DB49EF">
        <w:t xml:space="preserve"> at tilvejebringe de nødvende oplysninger til brug for handlekommunens beregning af den omkostningsbestemte del af </w:t>
      </w:r>
      <w:r w:rsidR="000239E2">
        <w:t>egenbetalingen.</w:t>
      </w:r>
    </w:p>
    <w:p w14:paraId="26351467" w14:textId="77777777" w:rsidR="00D70245" w:rsidRDefault="00D70245">
      <w:pPr>
        <w:rPr>
          <w:u w:val="single"/>
        </w:rPr>
      </w:pPr>
      <w:r w:rsidRPr="00D70245">
        <w:rPr>
          <w:u w:val="single"/>
        </w:rPr>
        <w:t>1.</w:t>
      </w:r>
      <w:r w:rsidR="00DB49EF">
        <w:rPr>
          <w:u w:val="single"/>
        </w:rPr>
        <w:t xml:space="preserve">2 Boligbetaling </w:t>
      </w:r>
      <w:r w:rsidR="004B19CE">
        <w:rPr>
          <w:u w:val="single"/>
        </w:rPr>
        <w:t>–</w:t>
      </w:r>
      <w:r w:rsidR="00DB49EF">
        <w:rPr>
          <w:u w:val="single"/>
        </w:rPr>
        <w:t xml:space="preserve"> indkomstbestemt</w:t>
      </w:r>
    </w:p>
    <w:p w14:paraId="5D5C7594" w14:textId="77777777" w:rsidR="00804475" w:rsidRDefault="004B19CE" w:rsidP="00804475">
      <w:r>
        <w:t>Boligbetalingen tillægges et beløb, som beregnes på b</w:t>
      </w:r>
      <w:r w:rsidR="00804475">
        <w:t xml:space="preserve">aggrund af beboerens indkomst. </w:t>
      </w:r>
    </w:p>
    <w:p w14:paraId="3F179784" w14:textId="77777777" w:rsidR="00804475" w:rsidRDefault="00804475" w:rsidP="00804475">
      <w:pPr>
        <w:pStyle w:val="Listeafsnit"/>
        <w:numPr>
          <w:ilvl w:val="1"/>
          <w:numId w:val="1"/>
        </w:numPr>
      </w:pPr>
      <w:r>
        <w:t xml:space="preserve">Ved beregningen medtages </w:t>
      </w:r>
      <w:r w:rsidR="00CE2355" w:rsidRPr="00A54C6B">
        <w:t xml:space="preserve">10 % af </w:t>
      </w:r>
      <w:r>
        <w:t>beboerens</w:t>
      </w:r>
      <w:r w:rsidR="00CE2355">
        <w:t xml:space="preserve"> </w:t>
      </w:r>
      <w:r w:rsidR="00AE0D36">
        <w:t>opgjorte</w:t>
      </w:r>
      <w:r w:rsidR="008953BA">
        <w:t xml:space="preserve"> </w:t>
      </w:r>
      <w:r w:rsidR="00B93E27">
        <w:t>indkomst</w:t>
      </w:r>
      <w:r w:rsidR="00E3781A">
        <w:t xml:space="preserve"> op til 1</w:t>
      </w:r>
      <w:r w:rsidR="008D00D2">
        <w:t>98</w:t>
      </w:r>
      <w:r w:rsidR="00E3781A">
        <w:t>.</w:t>
      </w:r>
      <w:r w:rsidR="008D00D2">
        <w:t>9</w:t>
      </w:r>
      <w:r w:rsidR="00E3781A">
        <w:t>00 kr. (2017</w:t>
      </w:r>
      <w:r w:rsidR="00CE2355">
        <w:t xml:space="preserve"> pl.)</w:t>
      </w:r>
      <w:r w:rsidR="008953BA" w:rsidRPr="00AE0D36">
        <w:t xml:space="preserve">. Den </w:t>
      </w:r>
      <w:r w:rsidR="00AE0D36" w:rsidRPr="00AE0D36">
        <w:t>opgjorte</w:t>
      </w:r>
      <w:r w:rsidR="00B93E27">
        <w:t xml:space="preserve"> indkomst</w:t>
      </w:r>
      <w:r w:rsidR="008953BA" w:rsidRPr="00AE0D36">
        <w:t xml:space="preserve"> opgøre</w:t>
      </w:r>
      <w:r w:rsidR="00B93E27">
        <w:t>s som borgerens faktiske indkomst</w:t>
      </w:r>
      <w:r w:rsidR="008953BA" w:rsidRPr="00AE0D36">
        <w:t>, minus børne- og ægtefællebidrag</w:t>
      </w:r>
      <w:r>
        <w:t xml:space="preserve"> og 20 % af sin beregnede indtægt udover de 198.900 kr. (2017 pl.)</w:t>
      </w:r>
      <w:r w:rsidR="00CA52EF">
        <w:t xml:space="preserve"> </w:t>
      </w:r>
    </w:p>
    <w:p w14:paraId="071C7A40" w14:textId="77777777" w:rsidR="00CA52EF" w:rsidRDefault="00CA52EF" w:rsidP="00A54C6B">
      <w:pPr>
        <w:pStyle w:val="Listeafsnit"/>
        <w:numPr>
          <w:ilvl w:val="1"/>
          <w:numId w:val="1"/>
        </w:numPr>
      </w:pPr>
      <w:r>
        <w:t>Enlige pensionister får et bundfradrag på</w:t>
      </w:r>
      <w:r w:rsidR="008953BA" w:rsidRPr="00AE0D36">
        <w:t xml:space="preserve"> </w:t>
      </w:r>
      <w:r w:rsidR="008D00D2">
        <w:t>43.1</w:t>
      </w:r>
      <w:r w:rsidR="008953BA" w:rsidRPr="00AE0D36">
        <w:t xml:space="preserve">00 kr. </w:t>
      </w:r>
      <w:r>
        <w:t>(2017 pl.)</w:t>
      </w:r>
    </w:p>
    <w:p w14:paraId="6A8A8DD0" w14:textId="77777777" w:rsidR="008953BA" w:rsidRPr="00A54C6B" w:rsidRDefault="00B93E27" w:rsidP="00A54C6B">
      <w:pPr>
        <w:pStyle w:val="Listeafsnit"/>
        <w:numPr>
          <w:ilvl w:val="1"/>
          <w:numId w:val="1"/>
        </w:numPr>
      </w:pPr>
      <w:r>
        <w:t>Den opgjorte indkomst nedrundes til hele 1.000 kr.</w:t>
      </w:r>
    </w:p>
    <w:p w14:paraId="606F56FA" w14:textId="77777777" w:rsidR="00F43EBA" w:rsidRDefault="007903E1" w:rsidP="008953BA">
      <w:pPr>
        <w:pStyle w:val="Listeafsnit"/>
        <w:numPr>
          <w:ilvl w:val="1"/>
          <w:numId w:val="1"/>
        </w:numPr>
      </w:pPr>
      <w:r w:rsidRPr="00A54C6B">
        <w:t xml:space="preserve">Årligt </w:t>
      </w:r>
      <w:r w:rsidR="00A54C6B" w:rsidRPr="00A54C6B">
        <w:t>kompensationsbeløb/</w:t>
      </w:r>
      <w:r w:rsidRPr="00A54C6B">
        <w:t>fradrag på</w:t>
      </w:r>
      <w:r w:rsidR="008953BA" w:rsidRPr="00A54C6B">
        <w:t xml:space="preserve"> 500 kr. ved en beregnet </w:t>
      </w:r>
      <w:r w:rsidR="00A54C6B" w:rsidRPr="00A54C6B">
        <w:t xml:space="preserve">husstandsindkomst </w:t>
      </w:r>
      <w:r w:rsidR="00733A76" w:rsidRPr="00A54C6B">
        <w:t>under</w:t>
      </w:r>
      <w:r w:rsidR="00E3781A">
        <w:t xml:space="preserve"> 1</w:t>
      </w:r>
      <w:r w:rsidR="008D00D2">
        <w:t>98</w:t>
      </w:r>
      <w:r w:rsidR="00733A76" w:rsidRPr="00A54C6B">
        <w:t>.</w:t>
      </w:r>
      <w:r w:rsidR="008D00D2">
        <w:t>9</w:t>
      </w:r>
      <w:r w:rsidR="00733A76" w:rsidRPr="00A54C6B">
        <w:t>00 kr. (</w:t>
      </w:r>
      <w:r w:rsidR="00E3781A">
        <w:t>2017</w:t>
      </w:r>
      <w:r w:rsidR="00733A76" w:rsidRPr="00A54C6B">
        <w:t xml:space="preserve"> pl.)</w:t>
      </w:r>
      <w:r w:rsidR="008953BA" w:rsidRPr="00A54C6B">
        <w:t xml:space="preserve">, og på 1.000 kr. </w:t>
      </w:r>
      <w:r w:rsidR="00E3781A">
        <w:t>ved en beregnet indtægt over 1</w:t>
      </w:r>
      <w:r w:rsidR="008D00D2">
        <w:t>98</w:t>
      </w:r>
      <w:r w:rsidR="008953BA" w:rsidRPr="00A54C6B">
        <w:t>.</w:t>
      </w:r>
      <w:r w:rsidR="008D00D2">
        <w:t>9</w:t>
      </w:r>
      <w:r w:rsidR="008953BA" w:rsidRPr="00A54C6B">
        <w:t>00 kr. (</w:t>
      </w:r>
      <w:r w:rsidR="00E3781A">
        <w:t>2017</w:t>
      </w:r>
      <w:r w:rsidR="008953BA" w:rsidRPr="00A54C6B">
        <w:t xml:space="preserve"> pl.)</w:t>
      </w:r>
    </w:p>
    <w:p w14:paraId="2A689CAC" w14:textId="77777777" w:rsidR="00CA52EF" w:rsidRDefault="00CA52EF" w:rsidP="00CA52EF">
      <w:r>
        <w:t>Se yderligere reglerne for opgørelse af beboerens indkomst i BEK nr</w:t>
      </w:r>
      <w:r w:rsidR="005A78BC">
        <w:t>.</w:t>
      </w:r>
      <w:r>
        <w:t xml:space="preserve"> 1387 af 12/12/20</w:t>
      </w:r>
      <w:r w:rsidR="005A78BC">
        <w:t>1</w:t>
      </w:r>
      <w:r>
        <w:t>6</w:t>
      </w:r>
      <w:r w:rsidR="007B651D">
        <w:t>, da ovenstående ikke er udtømmende</w:t>
      </w:r>
      <w:r>
        <w:t>.</w:t>
      </w:r>
    </w:p>
    <w:p w14:paraId="0A4F42E3" w14:textId="77777777" w:rsidR="00CA52EF" w:rsidRPr="00CA52EF" w:rsidRDefault="00CA52EF" w:rsidP="005A78BC">
      <w:pPr>
        <w:keepNext/>
        <w:rPr>
          <w:u w:val="single"/>
        </w:rPr>
      </w:pPr>
      <w:r w:rsidRPr="00CA52EF">
        <w:rPr>
          <w:u w:val="single"/>
        </w:rPr>
        <w:lastRenderedPageBreak/>
        <w:t>1.3 Boligbetaling – el og varme</w:t>
      </w:r>
    </w:p>
    <w:p w14:paraId="1DC5AE1F" w14:textId="77777777" w:rsidR="00ED0AC5" w:rsidRDefault="00F301D2" w:rsidP="00F301D2">
      <w:r>
        <w:t>Betaling for el og varme fastsætte</w:t>
      </w:r>
      <w:r w:rsidR="005A78BC">
        <w:t>s</w:t>
      </w:r>
      <w:r>
        <w:t xml:space="preserve"> således, at driftsherrens f</w:t>
      </w:r>
      <w:r w:rsidRPr="007903E1">
        <w:t>aktisk</w:t>
      </w:r>
      <w:r>
        <w:t>e udgifter dækkes, inkl. udgifter til moms. El og varme opgøres separat, således at borgeren kan søge om varmetillæg.</w:t>
      </w:r>
    </w:p>
    <w:p w14:paraId="43B5A2D1" w14:textId="77777777" w:rsidR="006B4FA4" w:rsidRDefault="006B4FA4" w:rsidP="00F301D2">
      <w:r>
        <w:t>Der må ikke opkræves særskilt for vand, da dette er en del af driftsbudgettet.</w:t>
      </w:r>
    </w:p>
    <w:p w14:paraId="2A3417AD" w14:textId="77777777" w:rsidR="00CA52EF" w:rsidRPr="00F301D2" w:rsidRDefault="00F301D2" w:rsidP="00CA52EF">
      <w:pPr>
        <w:rPr>
          <w:u w:val="single"/>
        </w:rPr>
      </w:pPr>
      <w:r w:rsidRPr="00F301D2">
        <w:rPr>
          <w:u w:val="single"/>
        </w:rPr>
        <w:t>1.4 Fastsættelse af boligbetaling</w:t>
      </w:r>
    </w:p>
    <w:p w14:paraId="2B7D02F8" w14:textId="77777777" w:rsidR="008C634C" w:rsidRDefault="00F301D2" w:rsidP="008C634C">
      <w:pPr>
        <w:rPr>
          <w:i/>
          <w:color w:val="FF0000"/>
        </w:rPr>
      </w:pPr>
      <w:r>
        <w:t xml:space="preserve">Handlekommunen </w:t>
      </w:r>
      <w:r w:rsidR="008C634C">
        <w:t xml:space="preserve">beregner og </w:t>
      </w:r>
      <w:r>
        <w:t>fastsætter</w:t>
      </w:r>
      <w:r w:rsidR="008C634C">
        <w:t xml:space="preserve"> den samlede boligbetaling</w:t>
      </w:r>
      <w:r>
        <w:t xml:space="preserve"> og opkræver egenbetaling ved borgeren. </w:t>
      </w:r>
      <w:r w:rsidR="008C634C" w:rsidRPr="009C50BE">
        <w:rPr>
          <w:rFonts w:ascii="Verdana" w:eastAsia="Verdana" w:hAnsi="Verdana"/>
          <w:color w:val="000000"/>
        </w:rPr>
        <w:t xml:space="preserve">Driftsherren tilvejebringer de nødvendige oplysninger til brug for handlekommunens beregning af den omkostningsbestemte betaling, der er gældende for ophold i botilbuddet. </w:t>
      </w:r>
    </w:p>
    <w:p w14:paraId="75E7A3A1" w14:textId="77777777" w:rsidR="00AD54F0" w:rsidRPr="00AD54F0" w:rsidRDefault="00AD54F0" w:rsidP="00AD54F0">
      <w:r>
        <w:t>Den samlede betaling, inklusiv det indkomstbestemte beløb, for den enkelte beboer, kan ikke overstige den enkelte boligs andel af de samlede driftsudgifter, samt 10</w:t>
      </w:r>
      <w:r w:rsidR="005A78BC">
        <w:t xml:space="preserve"> </w:t>
      </w:r>
      <w:r>
        <w:t>% af den seneste ejendomsvurdering (den maksimale husleje for den enkelte bolig)</w:t>
      </w:r>
      <w:r w:rsidR="005A78BC">
        <w:t>.</w:t>
      </w:r>
    </w:p>
    <w:p w14:paraId="527D58E3" w14:textId="77777777" w:rsidR="00733A76" w:rsidRDefault="00762D44" w:rsidP="002872E7">
      <w:r>
        <w:t xml:space="preserve">Handlekommunen fastsætter egenbetalingen under </w:t>
      </w:r>
      <w:proofErr w:type="spellStart"/>
      <w:r>
        <w:t>hensynstagen</w:t>
      </w:r>
      <w:proofErr w:type="spellEnd"/>
      <w:r>
        <w:t xml:space="preserve"> til om beboeren har forsørgelsespligt</w:t>
      </w:r>
      <w:r w:rsidR="005A78BC">
        <w:t>,</w:t>
      </w:r>
      <w:r>
        <w:t xml:space="preserve"> </w:t>
      </w:r>
      <w:r w:rsidR="005A78BC">
        <w:t>e</w:t>
      </w:r>
      <w:r w:rsidR="00A5407E">
        <w:t xml:space="preserve">ller om beboeren er samboende. </w:t>
      </w:r>
      <w:r w:rsidR="00733A76">
        <w:t xml:space="preserve">For samboende gives der 25 % i rabat på den maksimale husleje, dog fratrækkes der 1 procentpoint </w:t>
      </w:r>
      <w:r w:rsidR="008D00D2">
        <w:t>for hver 5.019</w:t>
      </w:r>
      <w:r w:rsidR="00733A76">
        <w:t xml:space="preserve"> kr. (</w:t>
      </w:r>
      <w:r w:rsidR="008D00D2">
        <w:t>2017</w:t>
      </w:r>
      <w:r w:rsidR="00733A76">
        <w:t xml:space="preserve"> pl.) som indkomsten overstiger den sociale pension.</w:t>
      </w:r>
    </w:p>
    <w:p w14:paraId="2DC7F0FB" w14:textId="77777777" w:rsidR="00733A76" w:rsidRDefault="00733A76"/>
    <w:p w14:paraId="6A7491F7" w14:textId="77777777" w:rsidR="00733A76" w:rsidRPr="00AD711E" w:rsidRDefault="00733A76" w:rsidP="00E3781A">
      <w:pPr>
        <w:keepNext/>
        <w:rPr>
          <w:u w:val="single"/>
        </w:rPr>
      </w:pPr>
      <w:r w:rsidRPr="00AD711E">
        <w:rPr>
          <w:u w:val="single"/>
        </w:rPr>
        <w:t xml:space="preserve">2. Integrerede serviceydelser </w:t>
      </w:r>
    </w:p>
    <w:p w14:paraId="1510A732" w14:textId="77777777" w:rsidR="002C355F" w:rsidRDefault="00D310F4" w:rsidP="00733A76">
      <w:r>
        <w:t>Der er ikke hjemmel til at have integre</w:t>
      </w:r>
      <w:r w:rsidR="002C355F">
        <w:t>rede serviceydelser under § 108.</w:t>
      </w:r>
    </w:p>
    <w:p w14:paraId="3AEAE34F" w14:textId="77777777" w:rsidR="00733A76" w:rsidRDefault="00733A76" w:rsidP="00733A76"/>
    <w:p w14:paraId="601F25BD" w14:textId="77777777" w:rsidR="00E44EDD" w:rsidRPr="00AD711E" w:rsidRDefault="00E44EDD" w:rsidP="00E44EDD">
      <w:pPr>
        <w:rPr>
          <w:u w:val="single"/>
        </w:rPr>
      </w:pPr>
      <w:r>
        <w:rPr>
          <w:u w:val="single"/>
        </w:rPr>
        <w:t>3</w:t>
      </w:r>
      <w:r w:rsidRPr="00AD711E">
        <w:rPr>
          <w:u w:val="single"/>
        </w:rPr>
        <w:t xml:space="preserve">. </w:t>
      </w:r>
      <w:r>
        <w:rPr>
          <w:u w:val="single"/>
        </w:rPr>
        <w:t>Samlet vur</w:t>
      </w:r>
      <w:r w:rsidR="002C355F">
        <w:rPr>
          <w:u w:val="single"/>
        </w:rPr>
        <w:t>dering af borgerens betaling for botilbud</w:t>
      </w:r>
    </w:p>
    <w:p w14:paraId="25F7ADE9" w14:textId="77777777" w:rsidR="008C634C" w:rsidRDefault="002C355F" w:rsidP="008C634C">
      <w:pPr>
        <w:rPr>
          <w:rFonts w:ascii="Verdana" w:eastAsia="Verdana" w:hAnsi="Verdana"/>
          <w:color w:val="000000"/>
          <w:spacing w:val="-1"/>
        </w:rPr>
      </w:pPr>
      <w:r w:rsidRPr="002C355F">
        <w:t>Kommunalbestyrelsen kan i ganske særlige tilfælde beslutte</w:t>
      </w:r>
      <w:r w:rsidR="005A78BC">
        <w:t>,</w:t>
      </w:r>
      <w:r w:rsidRPr="002C355F">
        <w:t xml:space="preserve"> at nedsætte betalingen for botilbud af hensyn til beboerens økonomiske forhold.</w:t>
      </w:r>
      <w:r w:rsidR="008C634C">
        <w:rPr>
          <w:rFonts w:ascii="Verdana" w:eastAsia="Verdana" w:hAnsi="Verdana"/>
          <w:color w:val="000000"/>
          <w:spacing w:val="-1"/>
        </w:rPr>
        <w:t xml:space="preserve"> </w:t>
      </w:r>
      <w:r w:rsidR="008C634C" w:rsidRPr="00956BB2">
        <w:rPr>
          <w:rFonts w:ascii="Verdana" w:eastAsia="Verdana" w:hAnsi="Verdana"/>
          <w:color w:val="000000"/>
          <w:spacing w:val="-1"/>
        </w:rPr>
        <w:t>I vurderingen indgår dels om borgeren har et indtægtsgrundlag, der er tilstrækkeligt til at borgeren har et rime</w:t>
      </w:r>
      <w:r w:rsidR="008C634C" w:rsidRPr="00956BB2">
        <w:rPr>
          <w:rFonts w:ascii="Verdana" w:eastAsia="Verdana" w:hAnsi="Verdana"/>
          <w:color w:val="000000"/>
          <w:spacing w:val="-1"/>
        </w:rPr>
        <w:softHyphen/>
        <w:t xml:space="preserve">ligt rådighedsbeløb, samt om borgeren evt. bevarer egen bolig under opholdet. </w:t>
      </w:r>
      <w:r w:rsidR="008C634C">
        <w:rPr>
          <w:rFonts w:ascii="Verdana" w:eastAsia="Verdana" w:hAnsi="Verdana"/>
          <w:color w:val="000000"/>
          <w:spacing w:val="-1"/>
        </w:rPr>
        <w:t>Handle</w:t>
      </w:r>
      <w:r w:rsidR="008C634C" w:rsidRPr="00956BB2">
        <w:rPr>
          <w:rFonts w:ascii="Verdana" w:eastAsia="Verdana" w:hAnsi="Verdana"/>
          <w:color w:val="000000"/>
          <w:spacing w:val="-1"/>
        </w:rPr>
        <w:t>kommunen træffer på baggrund af denne vurdering afgørelse om egenbetalingens størrelse for den pågældende borger.</w:t>
      </w:r>
    </w:p>
    <w:p w14:paraId="29D78CDA" w14:textId="77777777" w:rsidR="005A78BC" w:rsidRPr="008C634C" w:rsidRDefault="005A78BC" w:rsidP="008C634C">
      <w:pPr>
        <w:rPr>
          <w:i/>
        </w:rPr>
      </w:pPr>
    </w:p>
    <w:p w14:paraId="4D434C6E" w14:textId="77777777" w:rsidR="00733A76" w:rsidRPr="00AD711E" w:rsidRDefault="00E44EDD" w:rsidP="00E44EDD">
      <w:pPr>
        <w:keepNext/>
        <w:rPr>
          <w:u w:val="single"/>
        </w:rPr>
      </w:pPr>
      <w:r>
        <w:rPr>
          <w:u w:val="single"/>
        </w:rPr>
        <w:t>4</w:t>
      </w:r>
      <w:r w:rsidR="00733A76" w:rsidRPr="00AD711E">
        <w:rPr>
          <w:u w:val="single"/>
        </w:rPr>
        <w:t xml:space="preserve">. Valgfrie serviceydelser </w:t>
      </w:r>
    </w:p>
    <w:p w14:paraId="29D7EB82" w14:textId="77777777" w:rsidR="00733A76" w:rsidRDefault="00733A76" w:rsidP="00733A76">
      <w:r>
        <w:t>Det er driftsherren der fastsætter og opkræver egenbetaling for valgfrie serviceydelser. Egenbetalingen fastsættes ud fra de faktiske gennemsnitlige udgifter til ydelserne. Borgeren kan fravælge ydelserne, hvis ikke borgeren har råd til dem.</w:t>
      </w:r>
    </w:p>
    <w:p w14:paraId="5B72A202" w14:textId="77777777" w:rsidR="00733A76" w:rsidRDefault="00733A76" w:rsidP="00733A76">
      <w:r>
        <w:t xml:space="preserve">Eksempler på valgfrie serviceydelser: </w:t>
      </w:r>
    </w:p>
    <w:p w14:paraId="57BE0104" w14:textId="77777777" w:rsidR="00733A76" w:rsidRDefault="00733A76" w:rsidP="00733A76">
      <w:r>
        <w:t xml:space="preserve">Madservice, tøjvask, fælles indkøb af toiletartikler og rengøringsartikler, </w:t>
      </w:r>
      <w:proofErr w:type="spellStart"/>
      <w:r>
        <w:t>ect</w:t>
      </w:r>
      <w:proofErr w:type="spellEnd"/>
      <w:r>
        <w:t>.</w:t>
      </w:r>
    </w:p>
    <w:p w14:paraId="2F39CB93" w14:textId="77777777" w:rsidR="00733A76" w:rsidRDefault="00733A76" w:rsidP="00733A76"/>
    <w:p w14:paraId="57438710" w14:textId="77777777" w:rsidR="000B7231" w:rsidRDefault="000B7231" w:rsidP="00ED0AC5">
      <w:pPr>
        <w:keepNext/>
        <w:rPr>
          <w:u w:val="single"/>
        </w:rPr>
      </w:pPr>
      <w:r w:rsidRPr="000B7231">
        <w:rPr>
          <w:u w:val="single"/>
        </w:rPr>
        <w:lastRenderedPageBreak/>
        <w:t>Kilder:</w:t>
      </w:r>
    </w:p>
    <w:p w14:paraId="54A167A6" w14:textId="77777777" w:rsidR="00A5407E" w:rsidRPr="00A5407E" w:rsidRDefault="00A5407E" w:rsidP="00A5407E">
      <w:pPr>
        <w:pStyle w:val="titel2"/>
        <w:jc w:val="left"/>
        <w:rPr>
          <w:rFonts w:asciiTheme="minorHAnsi" w:eastAsiaTheme="minorHAnsi" w:hAnsiTheme="minorHAnsi" w:cstheme="minorBidi"/>
          <w:color w:val="auto"/>
          <w:sz w:val="20"/>
          <w:szCs w:val="22"/>
          <w:lang w:eastAsia="en-US"/>
        </w:rPr>
      </w:pPr>
      <w:r w:rsidRPr="00A5407E">
        <w:rPr>
          <w:rFonts w:asciiTheme="minorHAnsi" w:eastAsiaTheme="minorHAnsi" w:hAnsiTheme="minorHAnsi" w:cstheme="minorBidi"/>
          <w:color w:val="auto"/>
          <w:sz w:val="20"/>
          <w:szCs w:val="22"/>
          <w:lang w:eastAsia="en-US"/>
        </w:rPr>
        <w:t xml:space="preserve">Boligbetaling, el, varme, tøjvask, mv.: BEK nr. 1387 af 12/12/2006 </w:t>
      </w:r>
      <w:r>
        <w:rPr>
          <w:rFonts w:asciiTheme="minorHAnsi" w:eastAsiaTheme="minorHAnsi" w:hAnsiTheme="minorHAnsi" w:cstheme="minorBidi"/>
          <w:color w:val="auto"/>
          <w:sz w:val="20"/>
          <w:szCs w:val="22"/>
          <w:lang w:eastAsia="en-US"/>
        </w:rPr>
        <w:t>samt</w:t>
      </w:r>
      <w:r w:rsidRPr="00A5407E">
        <w:rPr>
          <w:rFonts w:asciiTheme="minorHAnsi" w:eastAsiaTheme="minorHAnsi" w:hAnsiTheme="minorHAnsi" w:cstheme="minorBidi"/>
          <w:color w:val="auto"/>
          <w:sz w:val="20"/>
          <w:szCs w:val="22"/>
          <w:lang w:eastAsia="en-US"/>
        </w:rPr>
        <w:t xml:space="preserve"> Vejledning om botilbud mv. til voksne efter reglerne i almenboligloven, serviceloven og friplejeboligloven</w:t>
      </w:r>
      <w:r>
        <w:rPr>
          <w:rFonts w:asciiTheme="minorHAnsi" w:eastAsiaTheme="minorHAnsi" w:hAnsiTheme="minorHAnsi" w:cstheme="minorBidi"/>
          <w:color w:val="auto"/>
          <w:sz w:val="20"/>
          <w:szCs w:val="22"/>
          <w:lang w:eastAsia="en-US"/>
        </w:rPr>
        <w:t xml:space="preserve"> </w:t>
      </w:r>
      <w:r w:rsidRPr="00A5407E">
        <w:rPr>
          <w:rFonts w:asciiTheme="minorHAnsi" w:eastAsiaTheme="minorHAnsi" w:hAnsiTheme="minorHAnsi" w:cstheme="minorBidi"/>
          <w:color w:val="auto"/>
          <w:sz w:val="20"/>
          <w:szCs w:val="22"/>
          <w:lang w:eastAsia="en-US"/>
        </w:rPr>
        <w:t>(Vejledning nr. 4 til serviceloven)</w:t>
      </w:r>
    </w:p>
    <w:p w14:paraId="4F12284A" w14:textId="77777777" w:rsidR="000B7231" w:rsidRDefault="000B7231" w:rsidP="000B7231">
      <w:r>
        <w:t>Madservice: BEK nr. 1576 af 27/12/2014</w:t>
      </w:r>
    </w:p>
    <w:p w14:paraId="06A088AF" w14:textId="77777777" w:rsidR="008D00D2" w:rsidRPr="000B7231" w:rsidRDefault="008D00D2">
      <w:r>
        <w:t xml:space="preserve">Satser for betalingsandele, indkomst, mv. fastsættes en gang årligt. </w:t>
      </w:r>
      <w:r w:rsidR="00BD73C1">
        <w:t>For 2017 gælder VEJL nr. 10366 af 22/12/2016</w:t>
      </w:r>
      <w:r>
        <w:t>, tabel 5</w:t>
      </w:r>
    </w:p>
    <w:sectPr w:rsidR="008D00D2" w:rsidRPr="000B723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C6D1A" w14:textId="77777777" w:rsidR="0009147B" w:rsidRDefault="0009147B" w:rsidP="00DF5BFF">
      <w:pPr>
        <w:spacing w:after="0" w:line="240" w:lineRule="auto"/>
      </w:pPr>
      <w:r>
        <w:separator/>
      </w:r>
    </w:p>
  </w:endnote>
  <w:endnote w:type="continuationSeparator" w:id="0">
    <w:p w14:paraId="2A0FD315" w14:textId="77777777" w:rsidR="0009147B" w:rsidRDefault="0009147B" w:rsidP="00DF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AC98" w14:textId="77777777" w:rsidR="00DF5BFF" w:rsidRPr="00DF5BFF" w:rsidRDefault="00DF5BFF" w:rsidP="00DF5BFF">
    <w:pPr>
      <w:pStyle w:val="Sidefod"/>
      <w:jc w:val="right"/>
      <w:rPr>
        <w:sz w:val="16"/>
        <w:szCs w:val="16"/>
      </w:rPr>
    </w:pPr>
    <w:r>
      <w:rPr>
        <w:noProof/>
        <w:color w:val="000000" w:themeColor="accent1"/>
        <w:lang w:eastAsia="da-DK"/>
      </w:rPr>
      <mc:AlternateContent>
        <mc:Choice Requires="wps">
          <w:drawing>
            <wp:anchor distT="0" distB="0" distL="114300" distR="114300" simplePos="0" relativeHeight="251659264" behindDoc="0" locked="0" layoutInCell="1" allowOverlap="1" wp14:anchorId="1220E1A0" wp14:editId="127C6536">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C6F4BD"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7f7f7f [1614]" strokeweight="2pt">
              <w10:wrap anchorx="page" anchory="page"/>
            </v:rect>
          </w:pict>
        </mc:Fallback>
      </mc:AlternateContent>
    </w:r>
    <w:r>
      <w:rPr>
        <w:color w:val="000000" w:themeColor="accent1"/>
      </w:rPr>
      <w:t xml:space="preserve"> </w:t>
    </w:r>
    <w:r w:rsidRPr="00DF5BFF">
      <w:rPr>
        <w:rFonts w:asciiTheme="majorHAnsi" w:eastAsiaTheme="majorEastAsia" w:hAnsiTheme="majorHAnsi" w:cstheme="majorBidi"/>
        <w:color w:val="000000" w:themeColor="accent1"/>
        <w:sz w:val="16"/>
        <w:szCs w:val="16"/>
      </w:rPr>
      <w:t xml:space="preserve">S. </w:t>
    </w:r>
    <w:r w:rsidRPr="00DF5BFF">
      <w:rPr>
        <w:rFonts w:eastAsiaTheme="minorEastAsia"/>
        <w:color w:val="000000" w:themeColor="accent1"/>
        <w:sz w:val="16"/>
        <w:szCs w:val="16"/>
      </w:rPr>
      <w:fldChar w:fldCharType="begin"/>
    </w:r>
    <w:r w:rsidRPr="00DF5BFF">
      <w:rPr>
        <w:color w:val="000000" w:themeColor="accent1"/>
        <w:sz w:val="16"/>
        <w:szCs w:val="16"/>
      </w:rPr>
      <w:instrText>PAGE    \* MERGEFORMAT</w:instrText>
    </w:r>
    <w:r w:rsidRPr="00DF5BFF">
      <w:rPr>
        <w:rFonts w:eastAsiaTheme="minorEastAsia"/>
        <w:color w:val="000000" w:themeColor="accent1"/>
        <w:sz w:val="16"/>
        <w:szCs w:val="16"/>
      </w:rPr>
      <w:fldChar w:fldCharType="separate"/>
    </w:r>
    <w:r w:rsidR="0059151D" w:rsidRPr="0059151D">
      <w:rPr>
        <w:rFonts w:asciiTheme="majorHAnsi" w:eastAsiaTheme="majorEastAsia" w:hAnsiTheme="majorHAnsi" w:cstheme="majorBidi"/>
        <w:noProof/>
        <w:color w:val="000000" w:themeColor="accent1"/>
        <w:sz w:val="16"/>
        <w:szCs w:val="16"/>
      </w:rPr>
      <w:t>3</w:t>
    </w:r>
    <w:r w:rsidRPr="00DF5BFF">
      <w:rPr>
        <w:rFonts w:asciiTheme="majorHAnsi" w:eastAsiaTheme="majorEastAsia" w:hAnsiTheme="majorHAnsi" w:cstheme="majorBidi"/>
        <w:color w:val="000000"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05D6" w14:textId="77777777" w:rsidR="0009147B" w:rsidRDefault="0009147B" w:rsidP="00DF5BFF">
      <w:pPr>
        <w:spacing w:after="0" w:line="240" w:lineRule="auto"/>
      </w:pPr>
      <w:r>
        <w:separator/>
      </w:r>
    </w:p>
  </w:footnote>
  <w:footnote w:type="continuationSeparator" w:id="0">
    <w:p w14:paraId="695C7E67" w14:textId="77777777" w:rsidR="0009147B" w:rsidRDefault="0009147B" w:rsidP="00DF5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382D" w14:textId="77777777" w:rsidR="00DF5BFF" w:rsidRPr="00DF5BFF" w:rsidRDefault="00DF5BFF">
    <w:pPr>
      <w:pStyle w:val="Sidehoved"/>
      <w:rPr>
        <w:sz w:val="16"/>
        <w:szCs w:val="16"/>
      </w:rPr>
    </w:pPr>
    <w:r w:rsidRPr="00DF5BFF">
      <w:rPr>
        <w:sz w:val="16"/>
        <w:szCs w:val="16"/>
      </w:rPr>
      <w:ptab w:relativeTo="margin" w:alignment="center" w:leader="none"/>
    </w:r>
    <w:r w:rsidRPr="00DF5BFF">
      <w:rPr>
        <w:sz w:val="16"/>
        <w:szCs w:val="16"/>
      </w:rPr>
      <w:ptab w:relativeTo="margin" w:alignment="right" w:leader="none"/>
    </w:r>
    <w:r w:rsidR="0061523C">
      <w:rPr>
        <w:sz w:val="16"/>
        <w:szCs w:val="16"/>
      </w:rPr>
      <w:t>30</w:t>
    </w:r>
    <w:r w:rsidR="00314EFE">
      <w:rPr>
        <w:sz w:val="16"/>
        <w:szCs w:val="16"/>
      </w:rPr>
      <w:t>.03</w:t>
    </w:r>
    <w:r w:rsidRPr="00DF5BFF">
      <w:rPr>
        <w:sz w:val="16"/>
        <w:szCs w:val="16"/>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A59A3"/>
    <w:multiLevelType w:val="hybridMultilevel"/>
    <w:tmpl w:val="8F9CBE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930ADC"/>
    <w:multiLevelType w:val="hybridMultilevel"/>
    <w:tmpl w:val="47E0E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287452"/>
    <w:multiLevelType w:val="multilevel"/>
    <w:tmpl w:val="BBC2BABE"/>
    <w:lvl w:ilvl="0">
      <w:start w:val="1"/>
      <w:numFmt w:val="bullet"/>
      <w:lvlText w:val=""/>
      <w:lvlJc w:val="left"/>
      <w:pPr>
        <w:tabs>
          <w:tab w:val="left" w:pos="360"/>
        </w:tabs>
        <w:ind w:left="720"/>
      </w:pPr>
      <w:rPr>
        <w:rFonts w:ascii="Symbol" w:hAnsi="Symbol" w:hint="default"/>
        <w:strike w:val="0"/>
        <w:color w:val="000000"/>
        <w:spacing w:val="0"/>
        <w:w w:val="100"/>
        <w:sz w:val="20"/>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6C77B4"/>
    <w:multiLevelType w:val="hybridMultilevel"/>
    <w:tmpl w:val="109805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B7C3F7D"/>
    <w:multiLevelType w:val="hybridMultilevel"/>
    <w:tmpl w:val="AC20B492"/>
    <w:lvl w:ilvl="0" w:tplc="FCE0B434">
      <w:start w:val="1"/>
      <w:numFmt w:val="bullet"/>
      <w:lvlText w:val="-"/>
      <w:lvlJc w:val="left"/>
      <w:pPr>
        <w:ind w:left="432" w:hanging="360"/>
      </w:pPr>
      <w:rPr>
        <w:rFonts w:ascii="Verdana" w:eastAsiaTheme="minorHAnsi" w:hAnsi="Verdana" w:cstheme="minorBidi" w:hint="default"/>
      </w:rPr>
    </w:lvl>
    <w:lvl w:ilvl="1" w:tplc="04060003" w:tentative="1">
      <w:start w:val="1"/>
      <w:numFmt w:val="bullet"/>
      <w:lvlText w:val="o"/>
      <w:lvlJc w:val="left"/>
      <w:pPr>
        <w:ind w:left="1152" w:hanging="360"/>
      </w:pPr>
      <w:rPr>
        <w:rFonts w:ascii="Courier New" w:hAnsi="Courier New" w:cs="Courier New" w:hint="default"/>
      </w:rPr>
    </w:lvl>
    <w:lvl w:ilvl="2" w:tplc="04060005" w:tentative="1">
      <w:start w:val="1"/>
      <w:numFmt w:val="bullet"/>
      <w:lvlText w:val=""/>
      <w:lvlJc w:val="left"/>
      <w:pPr>
        <w:ind w:left="1872" w:hanging="360"/>
      </w:pPr>
      <w:rPr>
        <w:rFonts w:ascii="Wingdings" w:hAnsi="Wingdings" w:hint="default"/>
      </w:rPr>
    </w:lvl>
    <w:lvl w:ilvl="3" w:tplc="04060001" w:tentative="1">
      <w:start w:val="1"/>
      <w:numFmt w:val="bullet"/>
      <w:lvlText w:val=""/>
      <w:lvlJc w:val="left"/>
      <w:pPr>
        <w:ind w:left="2592" w:hanging="360"/>
      </w:pPr>
      <w:rPr>
        <w:rFonts w:ascii="Symbol" w:hAnsi="Symbol" w:hint="default"/>
      </w:rPr>
    </w:lvl>
    <w:lvl w:ilvl="4" w:tplc="04060003" w:tentative="1">
      <w:start w:val="1"/>
      <w:numFmt w:val="bullet"/>
      <w:lvlText w:val="o"/>
      <w:lvlJc w:val="left"/>
      <w:pPr>
        <w:ind w:left="3312" w:hanging="360"/>
      </w:pPr>
      <w:rPr>
        <w:rFonts w:ascii="Courier New" w:hAnsi="Courier New" w:cs="Courier New" w:hint="default"/>
      </w:rPr>
    </w:lvl>
    <w:lvl w:ilvl="5" w:tplc="04060005" w:tentative="1">
      <w:start w:val="1"/>
      <w:numFmt w:val="bullet"/>
      <w:lvlText w:val=""/>
      <w:lvlJc w:val="left"/>
      <w:pPr>
        <w:ind w:left="4032" w:hanging="360"/>
      </w:pPr>
      <w:rPr>
        <w:rFonts w:ascii="Wingdings" w:hAnsi="Wingdings" w:hint="default"/>
      </w:rPr>
    </w:lvl>
    <w:lvl w:ilvl="6" w:tplc="04060001" w:tentative="1">
      <w:start w:val="1"/>
      <w:numFmt w:val="bullet"/>
      <w:lvlText w:val=""/>
      <w:lvlJc w:val="left"/>
      <w:pPr>
        <w:ind w:left="4752" w:hanging="360"/>
      </w:pPr>
      <w:rPr>
        <w:rFonts w:ascii="Symbol" w:hAnsi="Symbol" w:hint="default"/>
      </w:rPr>
    </w:lvl>
    <w:lvl w:ilvl="7" w:tplc="04060003" w:tentative="1">
      <w:start w:val="1"/>
      <w:numFmt w:val="bullet"/>
      <w:lvlText w:val="o"/>
      <w:lvlJc w:val="left"/>
      <w:pPr>
        <w:ind w:left="5472" w:hanging="360"/>
      </w:pPr>
      <w:rPr>
        <w:rFonts w:ascii="Courier New" w:hAnsi="Courier New" w:cs="Courier New" w:hint="default"/>
      </w:rPr>
    </w:lvl>
    <w:lvl w:ilvl="8" w:tplc="04060005" w:tentative="1">
      <w:start w:val="1"/>
      <w:numFmt w:val="bullet"/>
      <w:lvlText w:val=""/>
      <w:lvlJc w:val="left"/>
      <w:pPr>
        <w:ind w:left="6192" w:hanging="360"/>
      </w:pPr>
      <w:rPr>
        <w:rFonts w:ascii="Wingdings" w:hAnsi="Wingdings" w:hint="default"/>
      </w:rPr>
    </w:lvl>
  </w:abstractNum>
  <w:abstractNum w:abstractNumId="5" w15:restartNumberingAfterBreak="0">
    <w:nsid w:val="7F7F72AE"/>
    <w:multiLevelType w:val="hybridMultilevel"/>
    <w:tmpl w:val="2DCA02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999466">
    <w:abstractNumId w:val="3"/>
  </w:num>
  <w:num w:numId="2" w16cid:durableId="1223103840">
    <w:abstractNumId w:val="5"/>
  </w:num>
  <w:num w:numId="3" w16cid:durableId="611132184">
    <w:abstractNumId w:val="4"/>
  </w:num>
  <w:num w:numId="4" w16cid:durableId="2005694783">
    <w:abstractNumId w:val="0"/>
  </w:num>
  <w:num w:numId="5" w16cid:durableId="1823885513">
    <w:abstractNumId w:val="1"/>
  </w:num>
  <w:num w:numId="6" w16cid:durableId="57902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31"/>
    <w:rsid w:val="000239E2"/>
    <w:rsid w:val="00050F81"/>
    <w:rsid w:val="00054F36"/>
    <w:rsid w:val="0009147B"/>
    <w:rsid w:val="000B7231"/>
    <w:rsid w:val="001818FC"/>
    <w:rsid w:val="00184F8D"/>
    <w:rsid w:val="001F695F"/>
    <w:rsid w:val="00206F71"/>
    <w:rsid w:val="002802FB"/>
    <w:rsid w:val="0028151F"/>
    <w:rsid w:val="002872E7"/>
    <w:rsid w:val="002C355F"/>
    <w:rsid w:val="00314EFE"/>
    <w:rsid w:val="003A0D16"/>
    <w:rsid w:val="004353D7"/>
    <w:rsid w:val="004561B5"/>
    <w:rsid w:val="004718B9"/>
    <w:rsid w:val="00486CE9"/>
    <w:rsid w:val="004A7809"/>
    <w:rsid w:val="004B19CE"/>
    <w:rsid w:val="004C1D0C"/>
    <w:rsid w:val="004D2807"/>
    <w:rsid w:val="004F1F82"/>
    <w:rsid w:val="0059151D"/>
    <w:rsid w:val="005A3A95"/>
    <w:rsid w:val="005A78BC"/>
    <w:rsid w:val="005C56D9"/>
    <w:rsid w:val="0061523C"/>
    <w:rsid w:val="0063739D"/>
    <w:rsid w:val="006B4FA4"/>
    <w:rsid w:val="00733A76"/>
    <w:rsid w:val="00740DBD"/>
    <w:rsid w:val="00762D44"/>
    <w:rsid w:val="007903E1"/>
    <w:rsid w:val="007B651D"/>
    <w:rsid w:val="00804475"/>
    <w:rsid w:val="00865E3A"/>
    <w:rsid w:val="0087783E"/>
    <w:rsid w:val="008953BA"/>
    <w:rsid w:val="008C04B8"/>
    <w:rsid w:val="008C634C"/>
    <w:rsid w:val="008D00D2"/>
    <w:rsid w:val="009E4761"/>
    <w:rsid w:val="00A5407E"/>
    <w:rsid w:val="00A54C6B"/>
    <w:rsid w:val="00A752DB"/>
    <w:rsid w:val="00AD54F0"/>
    <w:rsid w:val="00AE0724"/>
    <w:rsid w:val="00AE0D36"/>
    <w:rsid w:val="00B009E9"/>
    <w:rsid w:val="00B93E27"/>
    <w:rsid w:val="00BA0951"/>
    <w:rsid w:val="00BA2131"/>
    <w:rsid w:val="00BD73C1"/>
    <w:rsid w:val="00CA52EF"/>
    <w:rsid w:val="00CE2355"/>
    <w:rsid w:val="00CF2C25"/>
    <w:rsid w:val="00D15691"/>
    <w:rsid w:val="00D310F4"/>
    <w:rsid w:val="00D70245"/>
    <w:rsid w:val="00DB49EF"/>
    <w:rsid w:val="00DF5BFF"/>
    <w:rsid w:val="00E05428"/>
    <w:rsid w:val="00E3781A"/>
    <w:rsid w:val="00E44EDD"/>
    <w:rsid w:val="00EB703D"/>
    <w:rsid w:val="00EC762D"/>
    <w:rsid w:val="00ED0AC5"/>
    <w:rsid w:val="00EF0004"/>
    <w:rsid w:val="00F138C4"/>
    <w:rsid w:val="00F301D2"/>
    <w:rsid w:val="00F43EBA"/>
    <w:rsid w:val="00FD1D3B"/>
    <w:rsid w:val="00FD2B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29A9"/>
  <w15:docId w15:val="{E1D7AE85-3B74-4DFF-8E80-EA5B8F2E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2807"/>
    <w:pPr>
      <w:ind w:left="720"/>
      <w:contextualSpacing/>
    </w:pPr>
  </w:style>
  <w:style w:type="paragraph" w:styleId="Sidehoved">
    <w:name w:val="header"/>
    <w:basedOn w:val="Normal"/>
    <w:link w:val="SidehovedTegn"/>
    <w:uiPriority w:val="99"/>
    <w:unhideWhenUsed/>
    <w:rsid w:val="00DF5B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5BFF"/>
    <w:rPr>
      <w:sz w:val="20"/>
    </w:rPr>
  </w:style>
  <w:style w:type="paragraph" w:styleId="Sidefod">
    <w:name w:val="footer"/>
    <w:basedOn w:val="Normal"/>
    <w:link w:val="SidefodTegn"/>
    <w:uiPriority w:val="99"/>
    <w:unhideWhenUsed/>
    <w:rsid w:val="00DF5B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5BFF"/>
    <w:rPr>
      <w:sz w:val="20"/>
    </w:rPr>
  </w:style>
  <w:style w:type="paragraph" w:styleId="Markeringsbobletekst">
    <w:name w:val="Balloon Text"/>
    <w:basedOn w:val="Normal"/>
    <w:link w:val="MarkeringsbobletekstTegn"/>
    <w:uiPriority w:val="99"/>
    <w:semiHidden/>
    <w:unhideWhenUsed/>
    <w:rsid w:val="00DF5BF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5BFF"/>
    <w:rPr>
      <w:rFonts w:ascii="Tahoma" w:hAnsi="Tahoma" w:cs="Tahoma"/>
      <w:sz w:val="16"/>
      <w:szCs w:val="16"/>
    </w:rPr>
  </w:style>
  <w:style w:type="character" w:styleId="Hyperlink">
    <w:name w:val="Hyperlink"/>
    <w:basedOn w:val="Standardskrifttypeiafsnit"/>
    <w:uiPriority w:val="99"/>
    <w:unhideWhenUsed/>
    <w:rsid w:val="008C04B8"/>
    <w:rPr>
      <w:color w:val="0000FF" w:themeColor="hyperlink"/>
      <w:u w:val="single"/>
    </w:rPr>
  </w:style>
  <w:style w:type="table" w:styleId="Tabel-Gitter">
    <w:name w:val="Table Grid"/>
    <w:basedOn w:val="Tabel-Normal"/>
    <w:uiPriority w:val="59"/>
    <w:rsid w:val="0073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A5407E"/>
    <w:pPr>
      <w:spacing w:before="200" w:line="240" w:lineRule="auto"/>
      <w:jc w:val="center"/>
    </w:pPr>
    <w:rPr>
      <w:rFonts w:ascii="Tahoma" w:eastAsia="Times New Roman" w:hAnsi="Tahoma" w:cs="Tahoma"/>
      <w:color w:val="000000"/>
      <w:sz w:val="40"/>
      <w:szCs w:val="40"/>
      <w:lang w:eastAsia="da-DK"/>
    </w:rPr>
  </w:style>
  <w:style w:type="paragraph" w:customStyle="1" w:styleId="undertitel2">
    <w:name w:val="undertitel2"/>
    <w:basedOn w:val="Normal"/>
    <w:rsid w:val="00A5407E"/>
    <w:pPr>
      <w:spacing w:line="240" w:lineRule="auto"/>
      <w:jc w:val="center"/>
    </w:pPr>
    <w:rPr>
      <w:rFonts w:ascii="Tahoma" w:eastAsia="Times New Roman" w:hAnsi="Tahoma" w:cs="Tahoma"/>
      <w:color w:val="000000"/>
      <w:sz w:val="24"/>
      <w:szCs w:val="24"/>
      <w:lang w:eastAsia="da-DK"/>
    </w:rPr>
  </w:style>
  <w:style w:type="character" w:styleId="Kommentarhenvisning">
    <w:name w:val="annotation reference"/>
    <w:basedOn w:val="Standardskrifttypeiafsnit"/>
    <w:uiPriority w:val="99"/>
    <w:semiHidden/>
    <w:unhideWhenUsed/>
    <w:rsid w:val="005A78BC"/>
    <w:rPr>
      <w:sz w:val="16"/>
      <w:szCs w:val="16"/>
    </w:rPr>
  </w:style>
  <w:style w:type="paragraph" w:styleId="Kommentartekst">
    <w:name w:val="annotation text"/>
    <w:basedOn w:val="Normal"/>
    <w:link w:val="KommentartekstTegn"/>
    <w:uiPriority w:val="99"/>
    <w:semiHidden/>
    <w:unhideWhenUsed/>
    <w:rsid w:val="005A78BC"/>
    <w:pPr>
      <w:spacing w:line="240" w:lineRule="auto"/>
    </w:pPr>
    <w:rPr>
      <w:szCs w:val="20"/>
    </w:rPr>
  </w:style>
  <w:style w:type="character" w:customStyle="1" w:styleId="KommentartekstTegn">
    <w:name w:val="Kommentartekst Tegn"/>
    <w:basedOn w:val="Standardskrifttypeiafsnit"/>
    <w:link w:val="Kommentartekst"/>
    <w:uiPriority w:val="99"/>
    <w:semiHidden/>
    <w:rsid w:val="005A78BC"/>
    <w:rPr>
      <w:sz w:val="20"/>
      <w:szCs w:val="20"/>
    </w:rPr>
  </w:style>
  <w:style w:type="paragraph" w:styleId="Kommentaremne">
    <w:name w:val="annotation subject"/>
    <w:basedOn w:val="Kommentartekst"/>
    <w:next w:val="Kommentartekst"/>
    <w:link w:val="KommentaremneTegn"/>
    <w:uiPriority w:val="99"/>
    <w:semiHidden/>
    <w:unhideWhenUsed/>
    <w:rsid w:val="005A78BC"/>
    <w:rPr>
      <w:b/>
      <w:bCs/>
    </w:rPr>
  </w:style>
  <w:style w:type="character" w:customStyle="1" w:styleId="KommentaremneTegn">
    <w:name w:val="Kommentaremne Tegn"/>
    <w:basedOn w:val="KommentartekstTegn"/>
    <w:link w:val="Kommentaremne"/>
    <w:uiPriority w:val="99"/>
    <w:semiHidden/>
    <w:rsid w:val="005A7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A047-8AF5-42D9-9946-9C261B3D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4016</Characters>
  <Application>Microsoft Office Word</Application>
  <DocSecurity>0</DocSecurity>
  <Lines>80</Lines>
  <Paragraphs>44</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Regitze Mørch Lund (28196)</dc:creator>
  <cp:lastModifiedBy>Brian Høyer Lorentsen</cp:lastModifiedBy>
  <cp:revision>2</cp:revision>
  <cp:lastPrinted>2017-02-22T12:27:00Z</cp:lastPrinted>
  <dcterms:created xsi:type="dcterms:W3CDTF">2025-03-03T10:07:00Z</dcterms:created>
  <dcterms:modified xsi:type="dcterms:W3CDTF">2025-03-03T10:07:00Z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{96176FD1-2DB5-410B-9040-067167270FE1}</vt:lpwstr>
  </property>
</Properties>
</file>